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041A" w14:textId="01D83961" w:rsidR="00040DE1" w:rsidRDefault="004924C5">
      <w:r>
        <w:t>It</w:t>
      </w:r>
      <w:r w:rsidR="00040DE1">
        <w:t xml:space="preserve"> is</w:t>
      </w:r>
      <w:r>
        <w:t xml:space="preserve"> possible that there are certain cancer traits that are included in our list of qualifying cancer </w:t>
      </w:r>
      <w:proofErr w:type="spellStart"/>
      <w:r>
        <w:t>phecodes</w:t>
      </w:r>
      <w:proofErr w:type="spellEnd"/>
      <w:r>
        <w:t xml:space="preserve"> that participants do not recognize as cancer. Two potential traits include polycythemia vera [</w:t>
      </w:r>
      <w:proofErr w:type="spellStart"/>
      <w:r>
        <w:t>pheode</w:t>
      </w:r>
      <w:proofErr w:type="spellEnd"/>
      <w:r>
        <w:t xml:space="preserve"> 200.1] and cervical intraepithelial neoplasia [</w:t>
      </w:r>
      <w:proofErr w:type="spellStart"/>
      <w:r>
        <w:t>phecode</w:t>
      </w:r>
      <w:proofErr w:type="spellEnd"/>
      <w:r>
        <w:t xml:space="preserve"> 180.3]. </w:t>
      </w:r>
      <w:r w:rsidRPr="004924C5">
        <w:t xml:space="preserve">Of the 3,182 individuals with an initial cancer diagnosis in adulthood, 223 had an initial adult diagnosis of either polycythemia vera or cervical intraepithelial neoplasia. </w:t>
      </w:r>
      <w:proofErr w:type="gramStart"/>
      <w:r w:rsidRPr="004924C5">
        <w:t>All of</w:t>
      </w:r>
      <w:proofErr w:type="gramEnd"/>
      <w:r w:rsidRPr="004924C5">
        <w:t xml:space="preserve"> these 223 individuals had other qualifying initial cancer diagnoses during adulthood.</w:t>
      </w:r>
      <w:r w:rsidR="00040DE1">
        <w:t xml:space="preserve"> This suggests that even if these traits were excluded as qualifying cancer traits, these individuals would still have been classified as having cancer by their EHR. While this avoidable in this instance, it may not be in other instances.</w:t>
      </w:r>
    </w:p>
    <w:p w14:paraId="53DB05D4" w14:textId="77777777" w:rsidR="00040DE1" w:rsidRDefault="00040DE1"/>
    <w:p w14:paraId="3A5222CF" w14:textId="7FFCD488" w:rsidR="00040DE1" w:rsidRDefault="00040DE1">
      <w:r>
        <w:t xml:space="preserve">It is possible that there are individuals have only a single qualifying cancer </w:t>
      </w:r>
      <w:proofErr w:type="spellStart"/>
      <w:r>
        <w:t>phecode</w:t>
      </w:r>
      <w:proofErr w:type="spellEnd"/>
      <w:r>
        <w:t xml:space="preserve">, and because of the single diagnosis, may not remember or recognize a cancer diagnosis. However, </w:t>
      </w:r>
      <w:r w:rsidRPr="00040DE1">
        <w:t xml:space="preserve">of the 3,182 </w:t>
      </w:r>
      <w:proofErr w:type="gramStart"/>
      <w:r w:rsidRPr="00040DE1">
        <w:t>individual</w:t>
      </w:r>
      <w:proofErr w:type="gramEnd"/>
      <w:r w:rsidRPr="00040DE1">
        <w:t xml:space="preserve"> with an initial cancer diagnosis in adulthood, 5.5% (n = 180) had only a single qualifying cancer </w:t>
      </w:r>
      <w:proofErr w:type="spellStart"/>
      <w:r w:rsidRPr="00040DE1">
        <w:t>phecode</w:t>
      </w:r>
      <w:proofErr w:type="spellEnd"/>
      <w:r w:rsidRPr="00040DE1">
        <w:t xml:space="preserve"> on their EHR.</w:t>
      </w:r>
    </w:p>
    <w:p w14:paraId="0E80BE3A" w14:textId="77777777" w:rsidR="00040DE1" w:rsidRDefault="00040DE1"/>
    <w:p w14:paraId="4CF85AE1" w14:textId="65DC8CCC" w:rsidR="00040DE1" w:rsidRDefault="00040DE1">
      <w:r>
        <w:t xml:space="preserve">It is possible that a significant amount of time has passed since an individual’s most recent initial cancer diagnosis, which could lead to a decreased likelihood of self-reporting cancer via EPI-Q. In </w:t>
      </w:r>
      <w:r w:rsidR="00360921">
        <w:rPr>
          <w:b/>
          <w:bCs/>
        </w:rPr>
        <w:t>Supplementary Material 21</w:t>
      </w:r>
      <w:r>
        <w:t>, we plot the time since most recent initial cancer diagnosis for all individuals with an EHR-defined cancer diagnosis.</w:t>
      </w:r>
    </w:p>
    <w:p w14:paraId="53607DCF" w14:textId="77777777" w:rsidR="00040DE1" w:rsidRDefault="00040DE1"/>
    <w:p w14:paraId="63141550" w14:textId="4C107BBA" w:rsidR="0083151D" w:rsidRDefault="0083151D" w:rsidP="0083151D">
      <w:pPr>
        <w:jc w:val="center"/>
      </w:pPr>
      <w:r>
        <w:rPr>
          <w:noProof/>
        </w:rPr>
        <w:drawing>
          <wp:inline distT="0" distB="0" distL="0" distR="0" wp14:anchorId="2F67791F" wp14:editId="09B23685">
            <wp:extent cx="4572000" cy="3265854"/>
            <wp:effectExtent l="12700" t="12700" r="12700" b="10795"/>
            <wp:docPr id="460218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18552" name="Picture 460218552"/>
                    <pic:cNvPicPr/>
                  </pic:nvPicPr>
                  <pic:blipFill>
                    <a:blip r:embed="rId7">
                      <a:extLst>
                        <a:ext uri="{28A0092B-C50C-407E-A947-70E740481C1C}">
                          <a14:useLocalDpi xmlns:a14="http://schemas.microsoft.com/office/drawing/2010/main" val="0"/>
                        </a:ext>
                      </a:extLst>
                    </a:blip>
                    <a:stretch>
                      <a:fillRect/>
                    </a:stretch>
                  </pic:blipFill>
                  <pic:spPr>
                    <a:xfrm>
                      <a:off x="0" y="0"/>
                      <a:ext cx="4572000" cy="3265854"/>
                    </a:xfrm>
                    <a:prstGeom prst="rect">
                      <a:avLst/>
                    </a:prstGeom>
                    <a:ln>
                      <a:solidFill>
                        <a:schemeClr val="tx1"/>
                      </a:solidFill>
                    </a:ln>
                  </pic:spPr>
                </pic:pic>
              </a:graphicData>
            </a:graphic>
          </wp:inline>
        </w:drawing>
      </w:r>
    </w:p>
    <w:p w14:paraId="6CFB0C79" w14:textId="2FEB8998" w:rsidR="0083151D" w:rsidRDefault="00360921" w:rsidP="0083151D">
      <w:r>
        <w:rPr>
          <w:b/>
          <w:bCs/>
        </w:rPr>
        <w:t>Supplementary Material 21</w:t>
      </w:r>
      <w:r w:rsidR="0083151D" w:rsidRPr="0083151D">
        <w:t>. Time since most recent initial cancer diagnosis by individual.</w:t>
      </w:r>
    </w:p>
    <w:p w14:paraId="6D91DB54" w14:textId="56A94FB2" w:rsidR="0083151D" w:rsidRDefault="0083151D"/>
    <w:p w14:paraId="776EE13F" w14:textId="79B2995F" w:rsidR="00040DE1" w:rsidRDefault="00040DE1">
      <w:r>
        <w:t xml:space="preserve">In </w:t>
      </w:r>
      <w:r w:rsidR="00360921">
        <w:rPr>
          <w:b/>
          <w:bCs/>
        </w:rPr>
        <w:t>Supplementary Material 22</w:t>
      </w:r>
      <w:r>
        <w:t xml:space="preserve">, </w:t>
      </w:r>
      <w:r w:rsidRPr="00040DE1">
        <w:t>we plotted the proportion of EHR-defined cancer patients self-reporting cancer by decile of time since most recent initial cancer diagnosis. We found that as time since most recent cancer diagnosis increases, the proportion of people self-reporting history decreases from 68% to 41%.</w:t>
      </w:r>
    </w:p>
    <w:p w14:paraId="45463B44" w14:textId="77777777" w:rsidR="00040DE1" w:rsidRDefault="00040DE1"/>
    <w:p w14:paraId="31CE4102" w14:textId="14C3243A" w:rsidR="0083151D" w:rsidRDefault="0083151D" w:rsidP="0083151D">
      <w:pPr>
        <w:jc w:val="center"/>
      </w:pPr>
      <w:r>
        <w:rPr>
          <w:noProof/>
        </w:rPr>
        <w:lastRenderedPageBreak/>
        <w:drawing>
          <wp:inline distT="0" distB="0" distL="0" distR="0" wp14:anchorId="1D51862F" wp14:editId="019C9D0D">
            <wp:extent cx="4572000" cy="3265854"/>
            <wp:effectExtent l="12700" t="12700" r="12700" b="10795"/>
            <wp:docPr id="11500757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75710" name="Picture 1150075710"/>
                    <pic:cNvPicPr/>
                  </pic:nvPicPr>
                  <pic:blipFill>
                    <a:blip r:embed="rId8">
                      <a:extLst>
                        <a:ext uri="{28A0092B-C50C-407E-A947-70E740481C1C}">
                          <a14:useLocalDpi xmlns:a14="http://schemas.microsoft.com/office/drawing/2010/main" val="0"/>
                        </a:ext>
                      </a:extLst>
                    </a:blip>
                    <a:stretch>
                      <a:fillRect/>
                    </a:stretch>
                  </pic:blipFill>
                  <pic:spPr>
                    <a:xfrm>
                      <a:off x="0" y="0"/>
                      <a:ext cx="4572000" cy="3265854"/>
                    </a:xfrm>
                    <a:prstGeom prst="rect">
                      <a:avLst/>
                    </a:prstGeom>
                    <a:ln>
                      <a:solidFill>
                        <a:schemeClr val="tx1"/>
                      </a:solidFill>
                    </a:ln>
                  </pic:spPr>
                </pic:pic>
              </a:graphicData>
            </a:graphic>
          </wp:inline>
        </w:drawing>
      </w:r>
    </w:p>
    <w:p w14:paraId="231AB237" w14:textId="50002BCC" w:rsidR="0083151D" w:rsidRDefault="00360921" w:rsidP="0083151D">
      <w:r>
        <w:rPr>
          <w:b/>
          <w:bCs/>
        </w:rPr>
        <w:t>Supplementary Material 22</w:t>
      </w:r>
      <w:r w:rsidR="0083151D" w:rsidRPr="0083151D">
        <w:t>. Proportion of EHR-defined cancer patients who self-reported history of cancer via EPI-Q by decile of time since most recent initial cancer diagnosis.</w:t>
      </w:r>
    </w:p>
    <w:p w14:paraId="67BEB92C" w14:textId="77777777" w:rsidR="0083151D" w:rsidRDefault="0083151D"/>
    <w:p w14:paraId="0641EC9C" w14:textId="77777777" w:rsidR="00040DE1" w:rsidRDefault="00040DE1" w:rsidP="00040DE1">
      <w:r>
        <w:t xml:space="preserve">We also ran a series of logistic regression models of the </w:t>
      </w:r>
      <w:proofErr w:type="gramStart"/>
      <w:r>
        <w:t>form</w:t>
      </w:r>
      <w:proofErr w:type="gramEnd"/>
    </w:p>
    <w:p w14:paraId="6DE1C99A" w14:textId="1E413C16" w:rsidR="00040DE1" w:rsidRDefault="00040DE1" w:rsidP="00040DE1">
      <m:oMathPara>
        <m:oMath>
          <m:r>
            <w:rPr>
              <w:rFonts w:ascii="Cambria Math" w:hAnsi="Cambria Math"/>
            </w:rPr>
            <m:t>logit</m:t>
          </m:r>
          <m:d>
            <m:dPr>
              <m:ctrlPr>
                <w:rPr>
                  <w:rFonts w:ascii="Cambria Math" w:hAnsi="Cambria Math"/>
                  <w:i/>
                </w:rPr>
              </m:ctrlPr>
            </m:dPr>
            <m:e>
              <m:r>
                <m:rPr>
                  <m:sty m:val="p"/>
                </m:rPr>
                <w:rPr>
                  <w:rFonts w:ascii="Cambria Math" w:hAnsi="Cambria Math"/>
                </w:rPr>
                <m:t>Cance</m:t>
              </m:r>
              <m:sSub>
                <m:sSubPr>
                  <m:ctrlPr>
                    <w:rPr>
                      <w:rFonts w:ascii="Cambria Math" w:hAnsi="Cambria Math"/>
                      <w:i/>
                    </w:rPr>
                  </m:ctrlPr>
                </m:sSubPr>
                <m:e>
                  <m:r>
                    <m:rPr>
                      <m:sty m:val="p"/>
                    </m:rPr>
                    <w:rPr>
                      <w:rFonts w:ascii="Cambria Math" w:hAnsi="Cambria Math"/>
                    </w:rPr>
                    <m:t>r</m:t>
                  </m:r>
                </m:e>
                <m:sub>
                  <m:r>
                    <w:rPr>
                      <w:rFonts w:ascii="Cambria Math" w:hAnsi="Cambria Math"/>
                    </w:rPr>
                    <m:t>self-report</m:t>
                  </m:r>
                </m:sub>
              </m:sSub>
              <m:r>
                <w:rPr>
                  <w:rFonts w:ascii="Cambria Math" w:hAnsi="Cambria Math"/>
                </w:rPr>
                <m:t>=1</m:t>
              </m:r>
            </m:e>
            <m:e>
              <m:r>
                <m:rPr>
                  <m:sty m:val="p"/>
                </m:rPr>
                <w:rPr>
                  <w:rFonts w:ascii="Cambria Math" w:hAnsi="Cambria Math"/>
                </w:rPr>
                <m:t>time</m:t>
              </m:r>
              <m:r>
                <w:rPr>
                  <w:rFonts w:ascii="Cambria Math" w:hAnsi="Cambria Math"/>
                </w:rPr>
                <m:t xml:space="preserve">, </m:t>
              </m:r>
              <m:r>
                <m:rPr>
                  <m:sty m:val="bi"/>
                </m:rP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m:rPr>
                  <m:sty m:val="p"/>
                </m:rPr>
                <w:rPr>
                  <w:rFonts w:ascii="Cambria Math" w:hAnsi="Cambria Math"/>
                </w:rPr>
                <m:t>time</m:t>
              </m:r>
            </m:sub>
          </m:sSub>
          <m:r>
            <m:rPr>
              <m:sty m:val="p"/>
            </m:rPr>
            <w:rPr>
              <w:rFonts w:ascii="Cambria Math" w:hAnsi="Cambria Math"/>
            </w:rPr>
            <m:t>time</m:t>
          </m:r>
          <m:r>
            <w:rPr>
              <w:rFonts w:ascii="Cambria Math" w:hAnsi="Cambria Math"/>
            </w:rPr>
            <m:t>+</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X</m:t>
              </m:r>
            </m:sub>
          </m:sSub>
          <m:r>
            <m:rPr>
              <m:sty m:val="bi"/>
            </m:rPr>
            <w:rPr>
              <w:rFonts w:ascii="Cambria Math" w:hAnsi="Cambria Math"/>
            </w:rPr>
            <m:t>X</m:t>
          </m:r>
        </m:oMath>
      </m:oMathPara>
    </w:p>
    <w:p w14:paraId="6FA93519" w14:textId="0D8C3A71" w:rsidR="00040DE1" w:rsidRDefault="00040DE1" w:rsidP="00040DE1">
      <w:r>
        <w:t xml:space="preserve">where </w:t>
      </w:r>
      <m:oMath>
        <m:r>
          <m:rPr>
            <m:sty m:val="p"/>
          </m:rPr>
          <w:rPr>
            <w:rFonts w:ascii="Cambria Math" w:hAnsi="Cambria Math"/>
          </w:rPr>
          <m:t>Cance</m:t>
        </m:r>
        <m:sSub>
          <m:sSubPr>
            <m:ctrlPr>
              <w:rPr>
                <w:rFonts w:ascii="Cambria Math" w:hAnsi="Cambria Math"/>
                <w:i/>
              </w:rPr>
            </m:ctrlPr>
          </m:sSubPr>
          <m:e>
            <m:r>
              <m:rPr>
                <m:sty m:val="p"/>
              </m:rPr>
              <w:rPr>
                <w:rFonts w:ascii="Cambria Math" w:hAnsi="Cambria Math"/>
              </w:rPr>
              <m:t>r</m:t>
            </m:r>
          </m:e>
          <m:sub>
            <m:r>
              <w:rPr>
                <w:rFonts w:ascii="Cambria Math" w:hAnsi="Cambria Math"/>
              </w:rPr>
              <m:t>self-report</m:t>
            </m:r>
          </m:sub>
        </m:sSub>
      </m:oMath>
      <w:r>
        <w:t xml:space="preserve"> is an indicator variable corresponding to whether the individual self-reported a history of cancer (1) or not (0) in the survey, </w:t>
      </w:r>
      <m:oMath>
        <m:r>
          <m:rPr>
            <m:sty m:val="p"/>
          </m:rPr>
          <w:rPr>
            <w:rFonts w:ascii="Cambria Math" w:hAnsi="Cambria Math"/>
          </w:rPr>
          <m:t>time</m:t>
        </m:r>
      </m:oMath>
      <w:r>
        <w:t xml:space="preserve"> is a continuous variable corresponding to time (in years) from most recent initial cancer diagnosis in the EHR to age at survey completion (</w:t>
      </w:r>
      <w:r w:rsidR="00360921">
        <w:rPr>
          <w:b/>
          <w:bCs/>
        </w:rPr>
        <w:t xml:space="preserve">Supplementary Material </w:t>
      </w:r>
      <w:r w:rsidR="0020760B">
        <w:rPr>
          <w:b/>
          <w:bCs/>
        </w:rPr>
        <w:t>21</w:t>
      </w:r>
      <w:r>
        <w:t xml:space="preserve">) and </w:t>
      </w:r>
      <m:oMath>
        <m:r>
          <m:rPr>
            <m:sty m:val="bi"/>
          </m:rPr>
          <w:rPr>
            <w:rFonts w:ascii="Cambria Math" w:hAnsi="Cambria Math"/>
          </w:rPr>
          <m:t>X</m:t>
        </m:r>
      </m:oMath>
      <w:r>
        <w:t xml:space="preserve"> are covariates. We compared a model without covariates to models with covariate sets sex and sex and number of unique qualifying cancer phecodes. The log-odds (i.e., beta coefficient) and p-value for the covariates are summarized in </w:t>
      </w:r>
      <w:r w:rsidR="0020760B">
        <w:rPr>
          <w:b/>
          <w:bCs/>
        </w:rPr>
        <w:t>Supplementary Material 23</w:t>
      </w:r>
      <w:r>
        <w:t xml:space="preserve">. The results show that the time since most recent cancer diagnosis is negatively associated with self-reported history of cancer. After accounting for the number of unique </w:t>
      </w:r>
      <w:proofErr w:type="gramStart"/>
      <w:r>
        <w:t>cancer</w:t>
      </w:r>
      <w:proofErr w:type="gramEnd"/>
      <w:r>
        <w:t xml:space="preserve"> phecodes on an individual’s EHR, this association remains weakly negative and is not statistically significant. Being male and having more unique cancer phecodes is significantly positively associated with self-reported history of cancer. This suggests that there are female-specific cancers which an individual may be less likely to </w:t>
      </w:r>
      <w:proofErr w:type="gramStart"/>
      <w:r>
        <w:t>consider</w:t>
      </w:r>
      <w:proofErr w:type="gramEnd"/>
      <w:r>
        <w:t xml:space="preserve"> or self-report has history of cancer. Modeling quantity and density of EHR data in the form of number of encounters, number of codes, and time since relevant diagnoses are important and can serve as indicators of potential misclassification and reporting bias.</w:t>
      </w:r>
    </w:p>
    <w:p w14:paraId="743C398B" w14:textId="77777777" w:rsidR="00040DE1" w:rsidRDefault="00040DE1" w:rsidP="00040DE1"/>
    <w:p w14:paraId="74C98F18" w14:textId="77777777" w:rsidR="007B1B2B" w:rsidRDefault="007B1B2B" w:rsidP="00040DE1"/>
    <w:p w14:paraId="16A784FD" w14:textId="77777777" w:rsidR="007B1B2B" w:rsidRDefault="007B1B2B" w:rsidP="00040DE1"/>
    <w:p w14:paraId="66B60717" w14:textId="77777777" w:rsidR="007B1B2B" w:rsidRDefault="007B1B2B" w:rsidP="00040DE1"/>
    <w:p w14:paraId="6A86F8CA" w14:textId="77777777" w:rsidR="007B1B2B" w:rsidRDefault="007B1B2B" w:rsidP="00040DE1"/>
    <w:tbl>
      <w:tblPr>
        <w:tblW w:w="0" w:type="auto"/>
        <w:tblCellMar>
          <w:top w:w="15" w:type="dxa"/>
          <w:left w:w="15" w:type="dxa"/>
          <w:bottom w:w="15" w:type="dxa"/>
          <w:right w:w="15" w:type="dxa"/>
        </w:tblCellMar>
        <w:tblLook w:val="04A0" w:firstRow="1" w:lastRow="0" w:firstColumn="1" w:lastColumn="0" w:noHBand="0" w:noVBand="1"/>
      </w:tblPr>
      <w:tblGrid>
        <w:gridCol w:w="2690"/>
        <w:gridCol w:w="1415"/>
        <w:gridCol w:w="1645"/>
        <w:gridCol w:w="3150"/>
      </w:tblGrid>
      <w:tr w:rsidR="00040DE1" w:rsidRPr="00040DE1" w14:paraId="4830BE8A" w14:textId="77777777" w:rsidTr="001D7CE0">
        <w:tc>
          <w:tcPr>
            <w:tcW w:w="8900" w:type="dxa"/>
            <w:gridSpan w:val="4"/>
            <w:tcBorders>
              <w:bottom w:val="single" w:sz="4" w:space="0" w:color="auto"/>
            </w:tcBorders>
            <w:tcMar>
              <w:top w:w="100" w:type="dxa"/>
              <w:left w:w="100" w:type="dxa"/>
              <w:bottom w:w="100" w:type="dxa"/>
              <w:right w:w="100" w:type="dxa"/>
            </w:tcMar>
          </w:tcPr>
          <w:p w14:paraId="58D6EC36" w14:textId="4E6E8797" w:rsidR="00040DE1" w:rsidRPr="00040DE1" w:rsidRDefault="00360921" w:rsidP="001D7CE0">
            <w:pPr>
              <w:rPr>
                <w:rFonts w:eastAsia="Times New Roman" w:cs="Arial"/>
              </w:rPr>
            </w:pPr>
            <w:r>
              <w:rPr>
                <w:rFonts w:eastAsia="Times New Roman" w:cs="Arial"/>
                <w:b/>
                <w:bCs/>
              </w:rPr>
              <w:lastRenderedPageBreak/>
              <w:t>Supplementary Material 23</w:t>
            </w:r>
            <w:r w:rsidR="00040DE1" w:rsidRPr="001D7CE0">
              <w:rPr>
                <w:rFonts w:eastAsia="Times New Roman" w:cs="Arial"/>
              </w:rPr>
              <w:t>. Logistic regression models for self-reported history of cancer under three sets of covariates.</w:t>
            </w:r>
          </w:p>
        </w:tc>
      </w:tr>
      <w:tr w:rsidR="00040DE1" w:rsidRPr="00040DE1" w14:paraId="165138FA" w14:textId="77777777" w:rsidTr="001D7CE0">
        <w:tc>
          <w:tcPr>
            <w:tcW w:w="2690" w:type="dxa"/>
            <w:tcBorders>
              <w:top w:val="single" w:sz="4" w:space="0" w:color="auto"/>
              <w:bottom w:val="single" w:sz="4" w:space="0" w:color="auto"/>
            </w:tcBorders>
            <w:tcMar>
              <w:top w:w="100" w:type="dxa"/>
              <w:left w:w="100" w:type="dxa"/>
              <w:bottom w:w="100" w:type="dxa"/>
              <w:right w:w="100" w:type="dxa"/>
            </w:tcMar>
            <w:hideMark/>
          </w:tcPr>
          <w:p w14:paraId="4CCD391D" w14:textId="77777777" w:rsidR="00040DE1" w:rsidRPr="00040DE1" w:rsidRDefault="00040DE1" w:rsidP="00040DE1">
            <w:pPr>
              <w:rPr>
                <w:rFonts w:ascii="Times New Roman" w:eastAsia="Times New Roman" w:hAnsi="Times New Roman" w:cs="Times New Roman"/>
              </w:rPr>
            </w:pPr>
          </w:p>
        </w:tc>
        <w:tc>
          <w:tcPr>
            <w:tcW w:w="1415" w:type="dxa"/>
            <w:tcBorders>
              <w:top w:val="single" w:sz="4" w:space="0" w:color="auto"/>
              <w:bottom w:val="single" w:sz="4" w:space="0" w:color="auto"/>
            </w:tcBorders>
            <w:tcMar>
              <w:top w:w="100" w:type="dxa"/>
              <w:left w:w="100" w:type="dxa"/>
              <w:bottom w:w="100" w:type="dxa"/>
              <w:right w:w="100" w:type="dxa"/>
            </w:tcMar>
            <w:vAlign w:val="bottom"/>
            <w:hideMark/>
          </w:tcPr>
          <w:p w14:paraId="7814F9CE"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Unadjusted</w:t>
            </w:r>
          </w:p>
        </w:tc>
        <w:tc>
          <w:tcPr>
            <w:tcW w:w="1645" w:type="dxa"/>
            <w:tcBorders>
              <w:top w:val="single" w:sz="4" w:space="0" w:color="auto"/>
              <w:bottom w:val="single" w:sz="4" w:space="0" w:color="auto"/>
            </w:tcBorders>
            <w:tcMar>
              <w:top w:w="100" w:type="dxa"/>
              <w:left w:w="100" w:type="dxa"/>
              <w:bottom w:w="100" w:type="dxa"/>
              <w:right w:w="100" w:type="dxa"/>
            </w:tcMar>
            <w:vAlign w:val="bottom"/>
            <w:hideMark/>
          </w:tcPr>
          <w:p w14:paraId="57C03FBB"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Sex-adjusted</w:t>
            </w:r>
          </w:p>
        </w:tc>
        <w:tc>
          <w:tcPr>
            <w:tcW w:w="3150" w:type="dxa"/>
            <w:tcBorders>
              <w:top w:val="single" w:sz="4" w:space="0" w:color="auto"/>
              <w:bottom w:val="single" w:sz="4" w:space="0" w:color="auto"/>
            </w:tcBorders>
            <w:tcMar>
              <w:top w:w="100" w:type="dxa"/>
              <w:left w:w="100" w:type="dxa"/>
              <w:bottom w:w="100" w:type="dxa"/>
              <w:right w:w="100" w:type="dxa"/>
            </w:tcMar>
            <w:vAlign w:val="bottom"/>
            <w:hideMark/>
          </w:tcPr>
          <w:p w14:paraId="0559D85B"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 xml:space="preserve">Sex- and number of unique </w:t>
            </w:r>
            <w:proofErr w:type="gramStart"/>
            <w:r w:rsidRPr="001D7CE0">
              <w:rPr>
                <w:rFonts w:eastAsia="Times New Roman" w:cs="Arial"/>
              </w:rPr>
              <w:t>cancer</w:t>
            </w:r>
            <w:proofErr w:type="gramEnd"/>
            <w:r w:rsidRPr="001D7CE0">
              <w:rPr>
                <w:rFonts w:eastAsia="Times New Roman" w:cs="Arial"/>
              </w:rPr>
              <w:t xml:space="preserve"> phecodes-adjusted</w:t>
            </w:r>
          </w:p>
        </w:tc>
      </w:tr>
      <w:tr w:rsidR="00040DE1" w:rsidRPr="00040DE1" w14:paraId="406FCFCD" w14:textId="77777777" w:rsidTr="001D7CE0">
        <w:tc>
          <w:tcPr>
            <w:tcW w:w="2690" w:type="dxa"/>
            <w:tcBorders>
              <w:top w:val="single" w:sz="4" w:space="0" w:color="auto"/>
            </w:tcBorders>
            <w:shd w:val="clear" w:color="auto" w:fill="D9D9D9" w:themeFill="background1" w:themeFillShade="D9"/>
            <w:tcMar>
              <w:top w:w="100" w:type="dxa"/>
              <w:left w:w="100" w:type="dxa"/>
              <w:bottom w:w="100" w:type="dxa"/>
              <w:right w:w="100" w:type="dxa"/>
            </w:tcMar>
            <w:hideMark/>
          </w:tcPr>
          <w:p w14:paraId="0D0BC8D9" w14:textId="77777777" w:rsidR="00040DE1" w:rsidRPr="00040DE1" w:rsidRDefault="00040DE1" w:rsidP="00040DE1">
            <w:pPr>
              <w:rPr>
                <w:rFonts w:ascii="Times New Roman" w:eastAsia="Times New Roman" w:hAnsi="Times New Roman" w:cs="Times New Roman"/>
              </w:rPr>
            </w:pPr>
            <w:r w:rsidRPr="001D7CE0">
              <w:rPr>
                <w:rFonts w:eastAsia="Times New Roman" w:cs="Arial"/>
              </w:rPr>
              <w:t>Time since most recent initial cancer diagnosis (years)</w:t>
            </w:r>
          </w:p>
        </w:tc>
        <w:tc>
          <w:tcPr>
            <w:tcW w:w="1415" w:type="dxa"/>
            <w:tcBorders>
              <w:top w:val="single" w:sz="4" w:space="0" w:color="auto"/>
            </w:tcBorders>
            <w:shd w:val="clear" w:color="auto" w:fill="D9D9D9" w:themeFill="background1" w:themeFillShade="D9"/>
            <w:tcMar>
              <w:top w:w="100" w:type="dxa"/>
              <w:left w:w="100" w:type="dxa"/>
              <w:bottom w:w="100" w:type="dxa"/>
              <w:right w:w="100" w:type="dxa"/>
            </w:tcMar>
            <w:hideMark/>
          </w:tcPr>
          <w:p w14:paraId="1824F3DE"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b/>
                <w:bCs/>
              </w:rPr>
              <w:t>-0.095</w:t>
            </w:r>
          </w:p>
          <w:p w14:paraId="5CAC469E"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(5.96E-16)</w:t>
            </w:r>
          </w:p>
        </w:tc>
        <w:tc>
          <w:tcPr>
            <w:tcW w:w="1645" w:type="dxa"/>
            <w:tcBorders>
              <w:top w:val="single" w:sz="4" w:space="0" w:color="auto"/>
            </w:tcBorders>
            <w:shd w:val="clear" w:color="auto" w:fill="D9D9D9" w:themeFill="background1" w:themeFillShade="D9"/>
            <w:tcMar>
              <w:top w:w="100" w:type="dxa"/>
              <w:left w:w="100" w:type="dxa"/>
              <w:bottom w:w="100" w:type="dxa"/>
              <w:right w:w="100" w:type="dxa"/>
            </w:tcMar>
            <w:hideMark/>
          </w:tcPr>
          <w:p w14:paraId="581DF35D"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b/>
                <w:bCs/>
              </w:rPr>
              <w:t>-0.087</w:t>
            </w:r>
          </w:p>
          <w:p w14:paraId="100E1A12"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(1.48E-13)</w:t>
            </w:r>
          </w:p>
        </w:tc>
        <w:tc>
          <w:tcPr>
            <w:tcW w:w="3150" w:type="dxa"/>
            <w:tcBorders>
              <w:top w:val="single" w:sz="4" w:space="0" w:color="auto"/>
            </w:tcBorders>
            <w:shd w:val="clear" w:color="auto" w:fill="D9D9D9" w:themeFill="background1" w:themeFillShade="D9"/>
            <w:tcMar>
              <w:top w:w="100" w:type="dxa"/>
              <w:left w:w="100" w:type="dxa"/>
              <w:bottom w:w="100" w:type="dxa"/>
              <w:right w:w="100" w:type="dxa"/>
            </w:tcMar>
            <w:hideMark/>
          </w:tcPr>
          <w:p w14:paraId="080ACB81"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-0.010</w:t>
            </w:r>
          </w:p>
          <w:p w14:paraId="212DD8B9"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(4.78E-01)</w:t>
            </w:r>
          </w:p>
        </w:tc>
      </w:tr>
      <w:tr w:rsidR="00040DE1" w:rsidRPr="00040DE1" w14:paraId="73BC07A6" w14:textId="77777777" w:rsidTr="001D7CE0">
        <w:tc>
          <w:tcPr>
            <w:tcW w:w="2690" w:type="dxa"/>
            <w:tcMar>
              <w:top w:w="100" w:type="dxa"/>
              <w:left w:w="100" w:type="dxa"/>
              <w:bottom w:w="100" w:type="dxa"/>
              <w:right w:w="100" w:type="dxa"/>
            </w:tcMar>
            <w:hideMark/>
          </w:tcPr>
          <w:p w14:paraId="0BAA41D2" w14:textId="77777777" w:rsidR="00040DE1" w:rsidRPr="00040DE1" w:rsidRDefault="00040DE1" w:rsidP="00040DE1">
            <w:pPr>
              <w:rPr>
                <w:rFonts w:ascii="Times New Roman" w:eastAsia="Times New Roman" w:hAnsi="Times New Roman" w:cs="Times New Roman"/>
              </w:rPr>
            </w:pPr>
            <w:r w:rsidRPr="001D7CE0">
              <w:rPr>
                <w:rFonts w:eastAsia="Times New Roman" w:cs="Arial"/>
              </w:rPr>
              <w:t>Sex (Male = 1)</w:t>
            </w:r>
          </w:p>
        </w:tc>
        <w:tc>
          <w:tcPr>
            <w:tcW w:w="1415" w:type="dxa"/>
            <w:tcMar>
              <w:top w:w="100" w:type="dxa"/>
              <w:left w:w="100" w:type="dxa"/>
              <w:bottom w:w="100" w:type="dxa"/>
              <w:right w:w="100" w:type="dxa"/>
            </w:tcMar>
            <w:hideMark/>
          </w:tcPr>
          <w:p w14:paraId="1DABC76B"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w:t>
            </w:r>
          </w:p>
        </w:tc>
        <w:tc>
          <w:tcPr>
            <w:tcW w:w="1645" w:type="dxa"/>
            <w:tcMar>
              <w:top w:w="100" w:type="dxa"/>
              <w:left w:w="100" w:type="dxa"/>
              <w:bottom w:w="100" w:type="dxa"/>
              <w:right w:w="100" w:type="dxa"/>
            </w:tcMar>
            <w:hideMark/>
          </w:tcPr>
          <w:p w14:paraId="620E1B33"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b/>
                <w:bCs/>
              </w:rPr>
              <w:t>0.570</w:t>
            </w:r>
          </w:p>
          <w:p w14:paraId="523670BB"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(4.38E-14)</w:t>
            </w:r>
          </w:p>
        </w:tc>
        <w:tc>
          <w:tcPr>
            <w:tcW w:w="3150" w:type="dxa"/>
            <w:tcMar>
              <w:top w:w="100" w:type="dxa"/>
              <w:left w:w="100" w:type="dxa"/>
              <w:bottom w:w="100" w:type="dxa"/>
              <w:right w:w="100" w:type="dxa"/>
            </w:tcMar>
            <w:hideMark/>
          </w:tcPr>
          <w:p w14:paraId="0D8FA3C8"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b/>
                <w:bCs/>
              </w:rPr>
              <w:t>0.617</w:t>
            </w:r>
          </w:p>
          <w:p w14:paraId="5A8AEE12"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(7.22E-12)</w:t>
            </w:r>
          </w:p>
        </w:tc>
      </w:tr>
      <w:tr w:rsidR="00040DE1" w:rsidRPr="00040DE1" w14:paraId="6827DD47" w14:textId="77777777" w:rsidTr="001D7CE0">
        <w:tc>
          <w:tcPr>
            <w:tcW w:w="2690" w:type="dxa"/>
            <w:tcBorders>
              <w:bottom w:val="single" w:sz="4" w:space="0" w:color="auto"/>
            </w:tcBorders>
            <w:shd w:val="clear" w:color="auto" w:fill="D9D9D9" w:themeFill="background1" w:themeFillShade="D9"/>
            <w:tcMar>
              <w:top w:w="100" w:type="dxa"/>
              <w:left w:w="100" w:type="dxa"/>
              <w:bottom w:w="100" w:type="dxa"/>
              <w:right w:w="100" w:type="dxa"/>
            </w:tcMar>
            <w:hideMark/>
          </w:tcPr>
          <w:p w14:paraId="7B17609A" w14:textId="77777777" w:rsidR="00040DE1" w:rsidRPr="00040DE1" w:rsidRDefault="00040DE1" w:rsidP="00040DE1">
            <w:pPr>
              <w:rPr>
                <w:rFonts w:ascii="Times New Roman" w:eastAsia="Times New Roman" w:hAnsi="Times New Roman" w:cs="Times New Roman"/>
              </w:rPr>
            </w:pPr>
            <w:r w:rsidRPr="001D7CE0">
              <w:rPr>
                <w:rFonts w:eastAsia="Times New Roman" w:cs="Arial"/>
              </w:rPr>
              <w:t xml:space="preserve">Number of unique </w:t>
            </w:r>
            <w:proofErr w:type="gramStart"/>
            <w:r w:rsidRPr="001D7CE0">
              <w:rPr>
                <w:rFonts w:eastAsia="Times New Roman" w:cs="Arial"/>
              </w:rPr>
              <w:t>cancer</w:t>
            </w:r>
            <w:proofErr w:type="gramEnd"/>
            <w:r w:rsidRPr="001D7CE0">
              <w:rPr>
                <w:rFonts w:eastAsia="Times New Roman" w:cs="Arial"/>
              </w:rPr>
              <w:t xml:space="preserve"> phecodes</w:t>
            </w:r>
          </w:p>
        </w:tc>
        <w:tc>
          <w:tcPr>
            <w:tcW w:w="1415" w:type="dxa"/>
            <w:tcBorders>
              <w:bottom w:val="single" w:sz="4" w:space="0" w:color="auto"/>
            </w:tcBorders>
            <w:shd w:val="clear" w:color="auto" w:fill="D9D9D9" w:themeFill="background1" w:themeFillShade="D9"/>
            <w:tcMar>
              <w:top w:w="100" w:type="dxa"/>
              <w:left w:w="100" w:type="dxa"/>
              <w:bottom w:w="100" w:type="dxa"/>
              <w:right w:w="100" w:type="dxa"/>
            </w:tcMar>
            <w:hideMark/>
          </w:tcPr>
          <w:p w14:paraId="4AE1F8DE"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w:t>
            </w:r>
          </w:p>
        </w:tc>
        <w:tc>
          <w:tcPr>
            <w:tcW w:w="1645" w:type="dxa"/>
            <w:tcBorders>
              <w:bottom w:val="single" w:sz="4" w:space="0" w:color="auto"/>
            </w:tcBorders>
            <w:shd w:val="clear" w:color="auto" w:fill="D9D9D9" w:themeFill="background1" w:themeFillShade="D9"/>
            <w:tcMar>
              <w:top w:w="100" w:type="dxa"/>
              <w:left w:w="100" w:type="dxa"/>
              <w:bottom w:w="100" w:type="dxa"/>
              <w:right w:w="100" w:type="dxa"/>
            </w:tcMar>
            <w:hideMark/>
          </w:tcPr>
          <w:p w14:paraId="5A153F54"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w:t>
            </w:r>
          </w:p>
        </w:tc>
        <w:tc>
          <w:tcPr>
            <w:tcW w:w="3150" w:type="dxa"/>
            <w:tcBorders>
              <w:bottom w:val="single" w:sz="4" w:space="0" w:color="auto"/>
            </w:tcBorders>
            <w:shd w:val="clear" w:color="auto" w:fill="D9D9D9" w:themeFill="background1" w:themeFillShade="D9"/>
            <w:tcMar>
              <w:top w:w="100" w:type="dxa"/>
              <w:left w:w="100" w:type="dxa"/>
              <w:bottom w:w="100" w:type="dxa"/>
              <w:right w:w="100" w:type="dxa"/>
            </w:tcMar>
            <w:hideMark/>
          </w:tcPr>
          <w:p w14:paraId="7C2B5BD1"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b/>
                <w:bCs/>
              </w:rPr>
              <w:t>0.466</w:t>
            </w:r>
          </w:p>
          <w:p w14:paraId="266E6D1E" w14:textId="77777777" w:rsidR="00040DE1" w:rsidRPr="00040DE1" w:rsidRDefault="00040DE1" w:rsidP="00040DE1">
            <w:pPr>
              <w:jc w:val="center"/>
              <w:rPr>
                <w:rFonts w:ascii="Times New Roman" w:eastAsia="Times New Roman" w:hAnsi="Times New Roman" w:cs="Times New Roman"/>
              </w:rPr>
            </w:pPr>
            <w:r w:rsidRPr="001D7CE0">
              <w:rPr>
                <w:rFonts w:eastAsia="Times New Roman" w:cs="Arial"/>
              </w:rPr>
              <w:t>(3.33E-143)</w:t>
            </w:r>
          </w:p>
        </w:tc>
      </w:tr>
      <w:tr w:rsidR="00040DE1" w:rsidRPr="00040DE1" w14:paraId="2A3FDF42" w14:textId="77777777" w:rsidTr="001D7CE0">
        <w:tc>
          <w:tcPr>
            <w:tcW w:w="8900" w:type="dxa"/>
            <w:gridSpan w:val="4"/>
            <w:tcBorders>
              <w:top w:val="single" w:sz="4" w:space="0" w:color="auto"/>
            </w:tcBorders>
            <w:shd w:val="clear" w:color="auto" w:fill="auto"/>
            <w:tcMar>
              <w:top w:w="100" w:type="dxa"/>
              <w:left w:w="100" w:type="dxa"/>
              <w:bottom w:w="100" w:type="dxa"/>
              <w:right w:w="100" w:type="dxa"/>
            </w:tcMar>
          </w:tcPr>
          <w:p w14:paraId="5D5BEA7F" w14:textId="37B5BCA1" w:rsidR="00040DE1" w:rsidRPr="001D7CE0" w:rsidRDefault="00040DE1" w:rsidP="001D7CE0">
            <w:pPr>
              <w:rPr>
                <w:rFonts w:eastAsia="Times New Roman" w:cs="Arial"/>
                <w:sz w:val="20"/>
                <w:szCs w:val="20"/>
              </w:rPr>
            </w:pPr>
            <w:r w:rsidRPr="001D7CE0">
              <w:rPr>
                <w:rFonts w:eastAsia="Times New Roman" w:cs="Arial"/>
                <w:sz w:val="20"/>
                <w:szCs w:val="20"/>
              </w:rPr>
              <w:t>Point estimates are bolded if they are statistically significant</w:t>
            </w:r>
            <w:r w:rsidR="0083151D" w:rsidRPr="001D7CE0">
              <w:rPr>
                <w:rFonts w:eastAsia="Times New Roman" w:cs="Arial"/>
                <w:sz w:val="20"/>
                <w:szCs w:val="20"/>
              </w:rPr>
              <w:t>ly different from 0 at the 95% significance level.</w:t>
            </w:r>
          </w:p>
        </w:tc>
      </w:tr>
    </w:tbl>
    <w:p w14:paraId="0B6BAFAD" w14:textId="77777777" w:rsidR="0083151D" w:rsidRDefault="0083151D" w:rsidP="00040DE1"/>
    <w:p w14:paraId="1F41271C" w14:textId="17EEEC44" w:rsidR="00124715" w:rsidRPr="00124715" w:rsidRDefault="0083151D" w:rsidP="00793CE3">
      <w:pPr>
        <w:rPr>
          <w:b/>
          <w:bCs/>
        </w:rPr>
      </w:pPr>
      <w:r w:rsidRPr="0083151D">
        <w:t>Ultimately, while the inclusion of some of codes like those for polycythemia vera and cervical intraepithelial neoplasia could inflate the EHR-defined history of cancer count, their inclusion could reduce the agreement between EHR-defined and self-reported cancer status. In this case however, because virtually all individuals have multiple qualifying cancer diagnoses, the impact of the inclusion of these codes is minimal.</w:t>
      </w:r>
      <w:r w:rsidR="006168BA">
        <w:t xml:space="preserve"> </w:t>
      </w:r>
      <w:r w:rsidRPr="0083151D">
        <w:t>Future work looking at self-reporting by EHR-defined cancer trait would need to be aware of these nuances and think carefully through which codes to include in defining a cancer diagnosis.</w:t>
      </w:r>
      <w:r w:rsidR="006168BA">
        <w:t xml:space="preserve"> </w:t>
      </w:r>
      <w:r w:rsidR="006168BA" w:rsidRPr="002A22E2">
        <w:rPr>
          <w:rFonts w:eastAsia="Helvetica Neue" w:cs="Arial"/>
        </w:rPr>
        <w:t>EHR</w:t>
      </w:r>
      <w:r w:rsidR="006168BA">
        <w:rPr>
          <w:rFonts w:eastAsia="Helvetica Neue" w:cs="Arial"/>
        </w:rPr>
        <w:t>-based cancer research needs to better understand how misclassification varies by cancer type and be careful when assuming an individual’s cancer history is accurately reflected in their health record.</w:t>
      </w:r>
    </w:p>
    <w:sectPr w:rsidR="00124715" w:rsidRPr="00124715" w:rsidSect="00B55FF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96BE" w14:textId="77777777" w:rsidR="00595271" w:rsidRDefault="00595271" w:rsidP="00C20C53">
      <w:r>
        <w:separator/>
      </w:r>
    </w:p>
  </w:endnote>
  <w:endnote w:type="continuationSeparator" w:id="0">
    <w:p w14:paraId="26CB0CE4" w14:textId="77777777" w:rsidR="00595271" w:rsidRDefault="00595271" w:rsidP="00C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40123913"/>
      <w:docPartObj>
        <w:docPartGallery w:val="Page Numbers (Bottom of Page)"/>
        <w:docPartUnique/>
      </w:docPartObj>
    </w:sdtPr>
    <w:sdtContent>
      <w:p w14:paraId="5EF8AF27" w14:textId="762E672A"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16175A">
          <w:rPr>
            <w:rStyle w:val="a5"/>
            <w:noProof/>
          </w:rPr>
          <w:t>7</w:t>
        </w:r>
        <w:r>
          <w:rPr>
            <w:rStyle w:val="a5"/>
          </w:rPr>
          <w:fldChar w:fldCharType="end"/>
        </w:r>
      </w:p>
    </w:sdtContent>
  </w:sdt>
  <w:p w14:paraId="2BD67FFC" w14:textId="77777777" w:rsidR="00C20C53" w:rsidRDefault="00C20C53" w:rsidP="00C20C5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00160309"/>
      <w:docPartObj>
        <w:docPartGallery w:val="Page Numbers (Bottom of Page)"/>
        <w:docPartUnique/>
      </w:docPartObj>
    </w:sdtPr>
    <w:sdtContent>
      <w:p w14:paraId="60BD5A1F" w14:textId="6746C827"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480800D" w14:textId="77777777" w:rsidR="00C20C53" w:rsidRDefault="00C20C53" w:rsidP="00C20C5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D3B0" w14:textId="77777777" w:rsidR="00595271" w:rsidRDefault="00595271" w:rsidP="00C20C53">
      <w:r>
        <w:separator/>
      </w:r>
    </w:p>
  </w:footnote>
  <w:footnote w:type="continuationSeparator" w:id="0">
    <w:p w14:paraId="2612B655" w14:textId="77777777" w:rsidR="00595271" w:rsidRDefault="00595271" w:rsidP="00C2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53"/>
    <w:rsid w:val="00004CE7"/>
    <w:rsid w:val="00012A49"/>
    <w:rsid w:val="00023A3B"/>
    <w:rsid w:val="00040DE1"/>
    <w:rsid w:val="000541FE"/>
    <w:rsid w:val="0006179F"/>
    <w:rsid w:val="00083C91"/>
    <w:rsid w:val="000845CB"/>
    <w:rsid w:val="00090296"/>
    <w:rsid w:val="000926A1"/>
    <w:rsid w:val="000954C4"/>
    <w:rsid w:val="000960B1"/>
    <w:rsid w:val="00097972"/>
    <w:rsid w:val="000B5CA3"/>
    <w:rsid w:val="000B7E43"/>
    <w:rsid w:val="000C5427"/>
    <w:rsid w:val="000E335E"/>
    <w:rsid w:val="001039F8"/>
    <w:rsid w:val="00103DD2"/>
    <w:rsid w:val="00123BC2"/>
    <w:rsid w:val="00124715"/>
    <w:rsid w:val="0016175A"/>
    <w:rsid w:val="0017091D"/>
    <w:rsid w:val="00172F8B"/>
    <w:rsid w:val="0018103A"/>
    <w:rsid w:val="001844E4"/>
    <w:rsid w:val="001B1A20"/>
    <w:rsid w:val="001B4FCB"/>
    <w:rsid w:val="001D7CE0"/>
    <w:rsid w:val="002039E4"/>
    <w:rsid w:val="0020760B"/>
    <w:rsid w:val="00241B8C"/>
    <w:rsid w:val="00247785"/>
    <w:rsid w:val="00276578"/>
    <w:rsid w:val="002A3A7A"/>
    <w:rsid w:val="002A5946"/>
    <w:rsid w:val="002A608E"/>
    <w:rsid w:val="002B40AC"/>
    <w:rsid w:val="002C2697"/>
    <w:rsid w:val="002C48DA"/>
    <w:rsid w:val="00307325"/>
    <w:rsid w:val="00313F8A"/>
    <w:rsid w:val="00336F22"/>
    <w:rsid w:val="00357554"/>
    <w:rsid w:val="00360921"/>
    <w:rsid w:val="00373CA5"/>
    <w:rsid w:val="0038508E"/>
    <w:rsid w:val="00395767"/>
    <w:rsid w:val="003A2ADA"/>
    <w:rsid w:val="003B6D54"/>
    <w:rsid w:val="00400425"/>
    <w:rsid w:val="00422F0A"/>
    <w:rsid w:val="004834A0"/>
    <w:rsid w:val="004924C5"/>
    <w:rsid w:val="004D258E"/>
    <w:rsid w:val="004D6D4E"/>
    <w:rsid w:val="004F60BB"/>
    <w:rsid w:val="00531B24"/>
    <w:rsid w:val="00580E4C"/>
    <w:rsid w:val="00593E5C"/>
    <w:rsid w:val="00595271"/>
    <w:rsid w:val="005B385C"/>
    <w:rsid w:val="005B7093"/>
    <w:rsid w:val="005C1C3E"/>
    <w:rsid w:val="006168BA"/>
    <w:rsid w:val="0062660F"/>
    <w:rsid w:val="00661ED7"/>
    <w:rsid w:val="00676F03"/>
    <w:rsid w:val="00697559"/>
    <w:rsid w:val="006D3596"/>
    <w:rsid w:val="006E7D8A"/>
    <w:rsid w:val="007172B5"/>
    <w:rsid w:val="00726586"/>
    <w:rsid w:val="007454DC"/>
    <w:rsid w:val="00780C6E"/>
    <w:rsid w:val="007831BC"/>
    <w:rsid w:val="00793CE3"/>
    <w:rsid w:val="0079551F"/>
    <w:rsid w:val="007957A6"/>
    <w:rsid w:val="007B1B2B"/>
    <w:rsid w:val="007B324A"/>
    <w:rsid w:val="007B5374"/>
    <w:rsid w:val="007C27FA"/>
    <w:rsid w:val="007F6315"/>
    <w:rsid w:val="008012F9"/>
    <w:rsid w:val="00802AEA"/>
    <w:rsid w:val="00813C70"/>
    <w:rsid w:val="0083151D"/>
    <w:rsid w:val="008651EA"/>
    <w:rsid w:val="00876907"/>
    <w:rsid w:val="00891BB0"/>
    <w:rsid w:val="008E3BC8"/>
    <w:rsid w:val="009526D5"/>
    <w:rsid w:val="00953083"/>
    <w:rsid w:val="009532C1"/>
    <w:rsid w:val="0095612D"/>
    <w:rsid w:val="009569F9"/>
    <w:rsid w:val="009645BC"/>
    <w:rsid w:val="00985085"/>
    <w:rsid w:val="00986263"/>
    <w:rsid w:val="009C144F"/>
    <w:rsid w:val="009C6494"/>
    <w:rsid w:val="009C73B0"/>
    <w:rsid w:val="009D78F5"/>
    <w:rsid w:val="009D7EC4"/>
    <w:rsid w:val="009E3048"/>
    <w:rsid w:val="00A04EF6"/>
    <w:rsid w:val="00A17800"/>
    <w:rsid w:val="00A26F3D"/>
    <w:rsid w:val="00A3614F"/>
    <w:rsid w:val="00A67DB8"/>
    <w:rsid w:val="00AA28E5"/>
    <w:rsid w:val="00AD30EE"/>
    <w:rsid w:val="00B55FF5"/>
    <w:rsid w:val="00B63C10"/>
    <w:rsid w:val="00B751CE"/>
    <w:rsid w:val="00B76BFD"/>
    <w:rsid w:val="00B863B7"/>
    <w:rsid w:val="00B95960"/>
    <w:rsid w:val="00B9779C"/>
    <w:rsid w:val="00BA2B8D"/>
    <w:rsid w:val="00BB6D73"/>
    <w:rsid w:val="00C20C53"/>
    <w:rsid w:val="00C2332B"/>
    <w:rsid w:val="00C32248"/>
    <w:rsid w:val="00C3760F"/>
    <w:rsid w:val="00C53BAB"/>
    <w:rsid w:val="00C575C6"/>
    <w:rsid w:val="00CB7B94"/>
    <w:rsid w:val="00CD0F25"/>
    <w:rsid w:val="00CD5FD3"/>
    <w:rsid w:val="00D12E2E"/>
    <w:rsid w:val="00D32B09"/>
    <w:rsid w:val="00D47DF2"/>
    <w:rsid w:val="00DA2F12"/>
    <w:rsid w:val="00DE0A1B"/>
    <w:rsid w:val="00DE22DC"/>
    <w:rsid w:val="00DE3293"/>
    <w:rsid w:val="00E00356"/>
    <w:rsid w:val="00E07B8A"/>
    <w:rsid w:val="00E446F9"/>
    <w:rsid w:val="00E56670"/>
    <w:rsid w:val="00E6015F"/>
    <w:rsid w:val="00E74C36"/>
    <w:rsid w:val="00E84198"/>
    <w:rsid w:val="00EA19C3"/>
    <w:rsid w:val="00EB7E3B"/>
    <w:rsid w:val="00EC08B5"/>
    <w:rsid w:val="00EE69FF"/>
    <w:rsid w:val="00F13D74"/>
    <w:rsid w:val="00F23D68"/>
    <w:rsid w:val="00F56EDF"/>
    <w:rsid w:val="00F7451B"/>
    <w:rsid w:val="00FA6328"/>
    <w:rsid w:val="00FD7FE6"/>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821"/>
  <w15:chartTrackingRefBased/>
  <w15:docId w15:val="{76429BDF-E90C-B044-A747-488C783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20C53"/>
    <w:pPr>
      <w:keepNext/>
      <w:keepLines/>
      <w:spacing w:after="60" w:line="276" w:lineRule="auto"/>
    </w:pPr>
    <w:rPr>
      <w:rFonts w:eastAsia="Arial" w:cs="Arial"/>
      <w:sz w:val="52"/>
      <w:szCs w:val="52"/>
      <w:lang w:val="en"/>
    </w:rPr>
  </w:style>
  <w:style w:type="character" w:customStyle="1" w:styleId="Char">
    <w:name w:val="제목 Char"/>
    <w:basedOn w:val="a0"/>
    <w:link w:val="a3"/>
    <w:uiPriority w:val="10"/>
    <w:rsid w:val="00C20C53"/>
    <w:rPr>
      <w:rFonts w:eastAsia="Arial" w:cs="Arial"/>
      <w:sz w:val="52"/>
      <w:szCs w:val="52"/>
      <w:lang w:val="en"/>
    </w:rPr>
  </w:style>
  <w:style w:type="paragraph" w:styleId="a4">
    <w:name w:val="footer"/>
    <w:basedOn w:val="a"/>
    <w:link w:val="Char0"/>
    <w:uiPriority w:val="99"/>
    <w:unhideWhenUsed/>
    <w:rsid w:val="00C20C53"/>
    <w:pPr>
      <w:tabs>
        <w:tab w:val="center" w:pos="4680"/>
        <w:tab w:val="right" w:pos="9360"/>
      </w:tabs>
    </w:pPr>
  </w:style>
  <w:style w:type="character" w:customStyle="1" w:styleId="Char0">
    <w:name w:val="바닥글 Char"/>
    <w:basedOn w:val="a0"/>
    <w:link w:val="a4"/>
    <w:uiPriority w:val="99"/>
    <w:rsid w:val="00C20C53"/>
  </w:style>
  <w:style w:type="character" w:styleId="a5">
    <w:name w:val="page number"/>
    <w:basedOn w:val="a0"/>
    <w:uiPriority w:val="99"/>
    <w:semiHidden/>
    <w:unhideWhenUsed/>
    <w:rsid w:val="00C20C53"/>
  </w:style>
  <w:style w:type="character" w:styleId="a6">
    <w:name w:val="Placeholder Text"/>
    <w:basedOn w:val="a0"/>
    <w:uiPriority w:val="99"/>
    <w:semiHidden/>
    <w:rsid w:val="00E446F9"/>
    <w:rPr>
      <w:color w:val="808080"/>
    </w:rPr>
  </w:style>
  <w:style w:type="character" w:styleId="a7">
    <w:name w:val="annotation reference"/>
    <w:basedOn w:val="a0"/>
    <w:uiPriority w:val="99"/>
    <w:semiHidden/>
    <w:unhideWhenUsed/>
    <w:rsid w:val="00953083"/>
    <w:rPr>
      <w:sz w:val="16"/>
      <w:szCs w:val="16"/>
    </w:rPr>
  </w:style>
  <w:style w:type="paragraph" w:styleId="a8">
    <w:name w:val="annotation text"/>
    <w:basedOn w:val="a"/>
    <w:link w:val="Char1"/>
    <w:uiPriority w:val="99"/>
    <w:semiHidden/>
    <w:unhideWhenUsed/>
    <w:rsid w:val="00953083"/>
    <w:rPr>
      <w:sz w:val="20"/>
      <w:szCs w:val="20"/>
    </w:rPr>
  </w:style>
  <w:style w:type="character" w:customStyle="1" w:styleId="Char1">
    <w:name w:val="메모 텍스트 Char"/>
    <w:basedOn w:val="a0"/>
    <w:link w:val="a8"/>
    <w:uiPriority w:val="99"/>
    <w:semiHidden/>
    <w:rsid w:val="00953083"/>
    <w:rPr>
      <w:sz w:val="20"/>
      <w:szCs w:val="20"/>
    </w:rPr>
  </w:style>
  <w:style w:type="paragraph" w:styleId="a9">
    <w:name w:val="annotation subject"/>
    <w:basedOn w:val="a8"/>
    <w:next w:val="a8"/>
    <w:link w:val="Char2"/>
    <w:uiPriority w:val="99"/>
    <w:semiHidden/>
    <w:unhideWhenUsed/>
    <w:rsid w:val="00953083"/>
    <w:rPr>
      <w:b/>
      <w:bCs/>
    </w:rPr>
  </w:style>
  <w:style w:type="character" w:customStyle="1" w:styleId="Char2">
    <w:name w:val="메모 주제 Char"/>
    <w:basedOn w:val="Char1"/>
    <w:link w:val="a9"/>
    <w:uiPriority w:val="99"/>
    <w:semiHidden/>
    <w:rsid w:val="00953083"/>
    <w:rPr>
      <w:b/>
      <w:bCs/>
      <w:sz w:val="20"/>
      <w:szCs w:val="20"/>
    </w:rPr>
  </w:style>
  <w:style w:type="paragraph" w:styleId="aa">
    <w:name w:val="Bibliography"/>
    <w:basedOn w:val="a"/>
    <w:next w:val="a"/>
    <w:uiPriority w:val="37"/>
    <w:unhideWhenUsed/>
    <w:rsid w:val="00124715"/>
    <w:pPr>
      <w:tabs>
        <w:tab w:val="left" w:pos="260"/>
      </w:tabs>
      <w:spacing w:after="240"/>
      <w:ind w:left="264" w:hanging="264"/>
    </w:pPr>
  </w:style>
  <w:style w:type="paragraph" w:styleId="ab">
    <w:name w:val="Revision"/>
    <w:hidden/>
    <w:uiPriority w:val="99"/>
    <w:semiHidden/>
    <w:rsid w:val="009C144F"/>
  </w:style>
  <w:style w:type="paragraph" w:styleId="ac">
    <w:name w:val="Normal (Web)"/>
    <w:basedOn w:val="a"/>
    <w:uiPriority w:val="99"/>
    <w:semiHidden/>
    <w:unhideWhenUsed/>
    <w:rsid w:val="00040D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923">
      <w:bodyDiv w:val="1"/>
      <w:marLeft w:val="0"/>
      <w:marRight w:val="0"/>
      <w:marTop w:val="0"/>
      <w:marBottom w:val="0"/>
      <w:divBdr>
        <w:top w:val="none" w:sz="0" w:space="0" w:color="auto"/>
        <w:left w:val="none" w:sz="0" w:space="0" w:color="auto"/>
        <w:bottom w:val="none" w:sz="0" w:space="0" w:color="auto"/>
        <w:right w:val="none" w:sz="0" w:space="0" w:color="auto"/>
      </w:divBdr>
    </w:div>
    <w:div w:id="394278429">
      <w:bodyDiv w:val="1"/>
      <w:marLeft w:val="0"/>
      <w:marRight w:val="0"/>
      <w:marTop w:val="0"/>
      <w:marBottom w:val="0"/>
      <w:divBdr>
        <w:top w:val="none" w:sz="0" w:space="0" w:color="auto"/>
        <w:left w:val="none" w:sz="0" w:space="0" w:color="auto"/>
        <w:bottom w:val="none" w:sz="0" w:space="0" w:color="auto"/>
        <w:right w:val="none" w:sz="0" w:space="0" w:color="auto"/>
      </w:divBdr>
    </w:div>
    <w:div w:id="409277548">
      <w:bodyDiv w:val="1"/>
      <w:marLeft w:val="0"/>
      <w:marRight w:val="0"/>
      <w:marTop w:val="0"/>
      <w:marBottom w:val="0"/>
      <w:divBdr>
        <w:top w:val="none" w:sz="0" w:space="0" w:color="auto"/>
        <w:left w:val="none" w:sz="0" w:space="0" w:color="auto"/>
        <w:bottom w:val="none" w:sz="0" w:space="0" w:color="auto"/>
        <w:right w:val="none" w:sz="0" w:space="0" w:color="auto"/>
      </w:divBdr>
    </w:div>
    <w:div w:id="586578937">
      <w:bodyDiv w:val="1"/>
      <w:marLeft w:val="0"/>
      <w:marRight w:val="0"/>
      <w:marTop w:val="0"/>
      <w:marBottom w:val="0"/>
      <w:divBdr>
        <w:top w:val="none" w:sz="0" w:space="0" w:color="auto"/>
        <w:left w:val="none" w:sz="0" w:space="0" w:color="auto"/>
        <w:bottom w:val="none" w:sz="0" w:space="0" w:color="auto"/>
        <w:right w:val="none" w:sz="0" w:space="0" w:color="auto"/>
      </w:divBdr>
    </w:div>
    <w:div w:id="912736264">
      <w:bodyDiv w:val="1"/>
      <w:marLeft w:val="0"/>
      <w:marRight w:val="0"/>
      <w:marTop w:val="0"/>
      <w:marBottom w:val="0"/>
      <w:divBdr>
        <w:top w:val="none" w:sz="0" w:space="0" w:color="auto"/>
        <w:left w:val="none" w:sz="0" w:space="0" w:color="auto"/>
        <w:bottom w:val="none" w:sz="0" w:space="0" w:color="auto"/>
        <w:right w:val="none" w:sz="0" w:space="0" w:color="auto"/>
      </w:divBdr>
      <w:divsChild>
        <w:div w:id="1435975008">
          <w:marLeft w:val="0"/>
          <w:marRight w:val="0"/>
          <w:marTop w:val="0"/>
          <w:marBottom w:val="0"/>
          <w:divBdr>
            <w:top w:val="none" w:sz="0" w:space="0" w:color="auto"/>
            <w:left w:val="none" w:sz="0" w:space="0" w:color="auto"/>
            <w:bottom w:val="none" w:sz="0" w:space="0" w:color="auto"/>
            <w:right w:val="none" w:sz="0" w:space="0" w:color="auto"/>
          </w:divBdr>
          <w:divsChild>
            <w:div w:id="1701315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751446">
      <w:bodyDiv w:val="1"/>
      <w:marLeft w:val="0"/>
      <w:marRight w:val="0"/>
      <w:marTop w:val="0"/>
      <w:marBottom w:val="0"/>
      <w:divBdr>
        <w:top w:val="none" w:sz="0" w:space="0" w:color="auto"/>
        <w:left w:val="none" w:sz="0" w:space="0" w:color="auto"/>
        <w:bottom w:val="none" w:sz="0" w:space="0" w:color="auto"/>
        <w:right w:val="none" w:sz="0" w:space="0" w:color="auto"/>
      </w:divBdr>
    </w:div>
    <w:div w:id="1914001492">
      <w:bodyDiv w:val="1"/>
      <w:marLeft w:val="0"/>
      <w:marRight w:val="0"/>
      <w:marTop w:val="0"/>
      <w:marBottom w:val="0"/>
      <w:divBdr>
        <w:top w:val="none" w:sz="0" w:space="0" w:color="auto"/>
        <w:left w:val="none" w:sz="0" w:space="0" w:color="auto"/>
        <w:bottom w:val="none" w:sz="0" w:space="0" w:color="auto"/>
        <w:right w:val="none" w:sz="0" w:space="0" w:color="auto"/>
      </w:divBdr>
    </w:div>
    <w:div w:id="2118871444">
      <w:bodyDiv w:val="1"/>
      <w:marLeft w:val="0"/>
      <w:marRight w:val="0"/>
      <w:marTop w:val="0"/>
      <w:marBottom w:val="0"/>
      <w:divBdr>
        <w:top w:val="none" w:sz="0" w:space="0" w:color="auto"/>
        <w:left w:val="none" w:sz="0" w:space="0" w:color="auto"/>
        <w:bottom w:val="none" w:sz="0" w:space="0" w:color="auto"/>
        <w:right w:val="none" w:sz="0" w:space="0" w:color="auto"/>
      </w:divBdr>
      <w:divsChild>
        <w:div w:id="94269263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44D4-0A98-854E-A980-969D5E27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4206</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Maxwell</dc:creator>
  <cp:keywords/>
  <dc:description/>
  <cp:lastModifiedBy>이제인</cp:lastModifiedBy>
  <cp:revision>2</cp:revision>
  <dcterms:created xsi:type="dcterms:W3CDTF">2023-12-15T05:30:00Z</dcterms:created>
  <dcterms:modified xsi:type="dcterms:W3CDTF">2023-12-15T05:30:00Z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id="xzwsLsvc"/&gt;&lt;style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