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5630" w14:textId="207F3679" w:rsidR="007B5374" w:rsidRDefault="007B5374" w:rsidP="007B5374">
      <w:pPr>
        <w:rPr>
          <w:b/>
          <w:bCs/>
        </w:rPr>
      </w:pPr>
      <w:r>
        <w:rPr>
          <w:b/>
          <w:bCs/>
        </w:rPr>
        <w:t xml:space="preserve">Supplementary </w:t>
      </w:r>
      <w:r w:rsidR="00360921">
        <w:rPr>
          <w:b/>
          <w:bCs/>
        </w:rPr>
        <w:t>Material 18</w:t>
      </w:r>
      <w:r>
        <w:rPr>
          <w:b/>
          <w:bCs/>
        </w:rPr>
        <w:t xml:space="preserve">. </w:t>
      </w:r>
      <w:r w:rsidR="00876907">
        <w:rPr>
          <w:b/>
          <w:bCs/>
        </w:rPr>
        <w:t>Comments regarding discrepancy between EHR-defined and self-reported history of cancer</w:t>
      </w:r>
    </w:p>
    <w:p w14:paraId="120BC44A" w14:textId="77777777" w:rsidR="00876907" w:rsidRDefault="00876907" w:rsidP="007B5374"/>
    <w:tbl>
      <w:tblPr>
        <w:tblW w:w="7740" w:type="dxa"/>
        <w:jc w:val="center"/>
        <w:tblLook w:val="04A0" w:firstRow="1" w:lastRow="0" w:firstColumn="1" w:lastColumn="0" w:noHBand="0" w:noVBand="1"/>
      </w:tblPr>
      <w:tblGrid>
        <w:gridCol w:w="3714"/>
        <w:gridCol w:w="1681"/>
        <w:gridCol w:w="1502"/>
        <w:gridCol w:w="843"/>
      </w:tblGrid>
      <w:tr w:rsidR="00B751CE" w:rsidRPr="000D4EC0" w14:paraId="14A1DDB1" w14:textId="77777777" w:rsidTr="00405E06">
        <w:trPr>
          <w:trHeight w:val="640"/>
          <w:jc w:val="center"/>
        </w:trPr>
        <w:tc>
          <w:tcPr>
            <w:tcW w:w="7740" w:type="dxa"/>
            <w:gridSpan w:val="4"/>
            <w:tcBorders>
              <w:top w:val="nil"/>
              <w:left w:val="nil"/>
              <w:bottom w:val="single" w:sz="4" w:space="0" w:color="auto"/>
              <w:right w:val="nil"/>
            </w:tcBorders>
            <w:shd w:val="clear" w:color="auto" w:fill="auto"/>
            <w:hideMark/>
          </w:tcPr>
          <w:p w14:paraId="652697FE" w14:textId="7B1CDC28" w:rsidR="00B751CE" w:rsidRPr="000D4EC0" w:rsidRDefault="00360921" w:rsidP="00405E06">
            <w:pPr>
              <w:rPr>
                <w:rFonts w:cs="Arial"/>
                <w:b/>
                <w:bCs/>
                <w:color w:val="000000"/>
              </w:rPr>
            </w:pPr>
            <w:r>
              <w:rPr>
                <w:rFonts w:cs="Arial"/>
                <w:b/>
                <w:bCs/>
                <w:color w:val="000000"/>
              </w:rPr>
              <w:t>Supplementary Material 19</w:t>
            </w:r>
            <w:r w:rsidR="00B751CE" w:rsidRPr="000D4EC0">
              <w:rPr>
                <w:rFonts w:cs="Arial"/>
                <w:color w:val="000000"/>
              </w:rPr>
              <w:t>. Concordance between self-reported history of cancer and EHR-recorded diagnosis of cancer</w:t>
            </w:r>
          </w:p>
        </w:tc>
      </w:tr>
      <w:tr w:rsidR="00B751CE" w:rsidRPr="000D4EC0" w14:paraId="76E8D767" w14:textId="77777777" w:rsidTr="00405E06">
        <w:trPr>
          <w:trHeight w:val="320"/>
          <w:jc w:val="center"/>
        </w:trPr>
        <w:tc>
          <w:tcPr>
            <w:tcW w:w="3714" w:type="dxa"/>
            <w:tcBorders>
              <w:top w:val="nil"/>
              <w:left w:val="nil"/>
              <w:bottom w:val="nil"/>
              <w:right w:val="nil"/>
            </w:tcBorders>
            <w:shd w:val="clear" w:color="auto" w:fill="auto"/>
            <w:noWrap/>
            <w:vAlign w:val="bottom"/>
            <w:hideMark/>
          </w:tcPr>
          <w:p w14:paraId="20C290CA" w14:textId="77777777" w:rsidR="00B751CE" w:rsidRPr="000D4EC0" w:rsidRDefault="00B751CE" w:rsidP="00405E06">
            <w:pPr>
              <w:rPr>
                <w:rFonts w:cs="Arial"/>
                <w:b/>
                <w:bCs/>
                <w:color w:val="000000"/>
              </w:rPr>
            </w:pPr>
          </w:p>
        </w:tc>
        <w:tc>
          <w:tcPr>
            <w:tcW w:w="3183" w:type="dxa"/>
            <w:gridSpan w:val="2"/>
            <w:tcBorders>
              <w:top w:val="nil"/>
              <w:left w:val="nil"/>
              <w:bottom w:val="single" w:sz="4" w:space="0" w:color="auto"/>
              <w:right w:val="nil"/>
            </w:tcBorders>
            <w:shd w:val="clear" w:color="auto" w:fill="auto"/>
            <w:noWrap/>
            <w:vAlign w:val="bottom"/>
            <w:hideMark/>
          </w:tcPr>
          <w:p w14:paraId="633965C7" w14:textId="77777777" w:rsidR="00B751CE" w:rsidRPr="000D4EC0" w:rsidRDefault="00B751CE" w:rsidP="00405E06">
            <w:pPr>
              <w:jc w:val="center"/>
              <w:rPr>
                <w:rFonts w:cs="Arial"/>
                <w:b/>
                <w:bCs/>
                <w:color w:val="000000"/>
              </w:rPr>
            </w:pPr>
            <w:r w:rsidRPr="000D4EC0">
              <w:rPr>
                <w:rFonts w:cs="Arial"/>
                <w:b/>
                <w:bCs/>
                <w:color w:val="000000"/>
              </w:rPr>
              <w:t>EHR-recorded cancer</w:t>
            </w:r>
          </w:p>
        </w:tc>
        <w:tc>
          <w:tcPr>
            <w:tcW w:w="843" w:type="dxa"/>
            <w:tcBorders>
              <w:top w:val="nil"/>
              <w:left w:val="nil"/>
              <w:bottom w:val="nil"/>
              <w:right w:val="nil"/>
            </w:tcBorders>
            <w:shd w:val="clear" w:color="auto" w:fill="auto"/>
            <w:noWrap/>
            <w:vAlign w:val="bottom"/>
            <w:hideMark/>
          </w:tcPr>
          <w:p w14:paraId="2C027FAD" w14:textId="77777777" w:rsidR="00B751CE" w:rsidRPr="000D4EC0" w:rsidRDefault="00B751CE" w:rsidP="00405E06">
            <w:pPr>
              <w:jc w:val="center"/>
              <w:rPr>
                <w:rFonts w:cs="Arial"/>
                <w:b/>
                <w:bCs/>
                <w:color w:val="000000"/>
              </w:rPr>
            </w:pPr>
          </w:p>
        </w:tc>
      </w:tr>
      <w:tr w:rsidR="00B751CE" w:rsidRPr="000D4EC0" w14:paraId="02C1C7C6" w14:textId="77777777" w:rsidTr="00405E06">
        <w:trPr>
          <w:trHeight w:val="320"/>
          <w:jc w:val="center"/>
        </w:trPr>
        <w:tc>
          <w:tcPr>
            <w:tcW w:w="3714" w:type="dxa"/>
            <w:tcBorders>
              <w:top w:val="nil"/>
              <w:left w:val="nil"/>
              <w:bottom w:val="single" w:sz="4" w:space="0" w:color="auto"/>
              <w:right w:val="nil"/>
            </w:tcBorders>
            <w:shd w:val="clear" w:color="auto" w:fill="auto"/>
            <w:noWrap/>
            <w:vAlign w:val="bottom"/>
            <w:hideMark/>
          </w:tcPr>
          <w:p w14:paraId="5D9C762A" w14:textId="77777777" w:rsidR="00B751CE" w:rsidRPr="000D4EC0" w:rsidRDefault="00B751CE" w:rsidP="00405E06">
            <w:pPr>
              <w:rPr>
                <w:rFonts w:cs="Arial"/>
                <w:b/>
                <w:bCs/>
                <w:color w:val="000000"/>
              </w:rPr>
            </w:pPr>
            <w:r w:rsidRPr="000D4EC0">
              <w:rPr>
                <w:rFonts w:cs="Arial"/>
                <w:b/>
                <w:bCs/>
                <w:color w:val="000000"/>
              </w:rPr>
              <w:t xml:space="preserve">Self-reported </w:t>
            </w:r>
            <w:r>
              <w:rPr>
                <w:rFonts w:cs="Arial"/>
                <w:b/>
                <w:bCs/>
                <w:color w:val="000000"/>
              </w:rPr>
              <w:t xml:space="preserve">history of </w:t>
            </w:r>
            <w:r w:rsidRPr="000D4EC0">
              <w:rPr>
                <w:rFonts w:cs="Arial"/>
                <w:b/>
                <w:bCs/>
                <w:color w:val="000000"/>
              </w:rPr>
              <w:t>cancer</w:t>
            </w:r>
          </w:p>
        </w:tc>
        <w:tc>
          <w:tcPr>
            <w:tcW w:w="1681" w:type="dxa"/>
            <w:tcBorders>
              <w:top w:val="nil"/>
              <w:left w:val="nil"/>
              <w:bottom w:val="single" w:sz="4" w:space="0" w:color="auto"/>
              <w:right w:val="nil"/>
            </w:tcBorders>
            <w:shd w:val="clear" w:color="auto" w:fill="auto"/>
            <w:noWrap/>
            <w:vAlign w:val="bottom"/>
            <w:hideMark/>
          </w:tcPr>
          <w:p w14:paraId="566E0ABD" w14:textId="77777777" w:rsidR="00B751CE" w:rsidRPr="000D4EC0" w:rsidRDefault="00B751CE" w:rsidP="00405E06">
            <w:pPr>
              <w:jc w:val="center"/>
              <w:rPr>
                <w:rFonts w:cs="Arial"/>
                <w:color w:val="000000"/>
              </w:rPr>
            </w:pPr>
            <w:r w:rsidRPr="000D4EC0">
              <w:rPr>
                <w:rFonts w:cs="Arial"/>
                <w:color w:val="000000"/>
              </w:rPr>
              <w:t>Had cancer</w:t>
            </w:r>
          </w:p>
        </w:tc>
        <w:tc>
          <w:tcPr>
            <w:tcW w:w="1502" w:type="dxa"/>
            <w:tcBorders>
              <w:top w:val="nil"/>
              <w:left w:val="nil"/>
              <w:bottom w:val="single" w:sz="4" w:space="0" w:color="auto"/>
              <w:right w:val="nil"/>
            </w:tcBorders>
            <w:shd w:val="clear" w:color="auto" w:fill="auto"/>
            <w:noWrap/>
            <w:vAlign w:val="bottom"/>
            <w:hideMark/>
          </w:tcPr>
          <w:p w14:paraId="569EDA90" w14:textId="77777777" w:rsidR="00B751CE" w:rsidRPr="000D4EC0" w:rsidRDefault="00B751CE" w:rsidP="00405E06">
            <w:pPr>
              <w:jc w:val="center"/>
              <w:rPr>
                <w:rFonts w:cs="Arial"/>
                <w:color w:val="000000"/>
              </w:rPr>
            </w:pPr>
            <w:r w:rsidRPr="000D4EC0">
              <w:rPr>
                <w:rFonts w:cs="Arial"/>
                <w:color w:val="000000"/>
              </w:rPr>
              <w:t>No cancer</w:t>
            </w:r>
          </w:p>
        </w:tc>
        <w:tc>
          <w:tcPr>
            <w:tcW w:w="843" w:type="dxa"/>
            <w:tcBorders>
              <w:top w:val="nil"/>
              <w:left w:val="nil"/>
              <w:bottom w:val="single" w:sz="4" w:space="0" w:color="auto"/>
              <w:right w:val="nil"/>
            </w:tcBorders>
            <w:shd w:val="clear" w:color="auto" w:fill="auto"/>
            <w:noWrap/>
            <w:vAlign w:val="bottom"/>
            <w:hideMark/>
          </w:tcPr>
          <w:p w14:paraId="2733A15A" w14:textId="77777777" w:rsidR="00B751CE" w:rsidRPr="000D4EC0" w:rsidRDefault="00B751CE" w:rsidP="00405E06">
            <w:pPr>
              <w:jc w:val="center"/>
              <w:rPr>
                <w:rFonts w:cs="Arial"/>
                <w:color w:val="000000"/>
              </w:rPr>
            </w:pPr>
            <w:r w:rsidRPr="000D4EC0">
              <w:rPr>
                <w:rFonts w:cs="Arial"/>
                <w:color w:val="000000"/>
              </w:rPr>
              <w:t>Total</w:t>
            </w:r>
          </w:p>
        </w:tc>
      </w:tr>
      <w:tr w:rsidR="00B751CE" w:rsidRPr="000D4EC0" w14:paraId="29FD5AF6" w14:textId="77777777" w:rsidTr="00405E06">
        <w:trPr>
          <w:trHeight w:val="320"/>
          <w:jc w:val="center"/>
        </w:trPr>
        <w:tc>
          <w:tcPr>
            <w:tcW w:w="3714" w:type="dxa"/>
            <w:tcBorders>
              <w:top w:val="nil"/>
              <w:left w:val="nil"/>
              <w:bottom w:val="nil"/>
              <w:right w:val="nil"/>
            </w:tcBorders>
            <w:shd w:val="clear" w:color="000000" w:fill="D9D9D9"/>
            <w:noWrap/>
            <w:vAlign w:val="bottom"/>
            <w:hideMark/>
          </w:tcPr>
          <w:p w14:paraId="5F19B4BE" w14:textId="77777777" w:rsidR="00B751CE" w:rsidRPr="000D4EC0" w:rsidRDefault="00B751CE" w:rsidP="00405E06">
            <w:pPr>
              <w:rPr>
                <w:rFonts w:cs="Arial"/>
                <w:color w:val="000000"/>
              </w:rPr>
            </w:pPr>
            <w:r w:rsidRPr="000D4EC0">
              <w:rPr>
                <w:rFonts w:cs="Arial"/>
                <w:color w:val="000000"/>
              </w:rPr>
              <w:t>Had cancer</w:t>
            </w:r>
          </w:p>
        </w:tc>
        <w:tc>
          <w:tcPr>
            <w:tcW w:w="1681" w:type="dxa"/>
            <w:tcBorders>
              <w:top w:val="nil"/>
              <w:left w:val="nil"/>
              <w:bottom w:val="nil"/>
              <w:right w:val="nil"/>
            </w:tcBorders>
            <w:shd w:val="clear" w:color="000000" w:fill="D9D9D9"/>
            <w:noWrap/>
            <w:vAlign w:val="bottom"/>
            <w:hideMark/>
          </w:tcPr>
          <w:p w14:paraId="7837D79B" w14:textId="72C6650C" w:rsidR="00B751CE" w:rsidRPr="000D4EC0" w:rsidRDefault="00B751CE" w:rsidP="00405E06">
            <w:pPr>
              <w:jc w:val="center"/>
              <w:rPr>
                <w:rFonts w:cs="Arial"/>
                <w:color w:val="000000"/>
              </w:rPr>
            </w:pPr>
            <w:r w:rsidRPr="000D4EC0">
              <w:rPr>
                <w:rFonts w:cs="Arial"/>
                <w:color w:val="000000"/>
              </w:rPr>
              <w:t>1,</w:t>
            </w:r>
            <w:r w:rsidR="00FD7FE6">
              <w:rPr>
                <w:rFonts w:cs="Arial"/>
                <w:color w:val="000000"/>
              </w:rPr>
              <w:t>789</w:t>
            </w:r>
          </w:p>
        </w:tc>
        <w:tc>
          <w:tcPr>
            <w:tcW w:w="1502" w:type="dxa"/>
            <w:tcBorders>
              <w:top w:val="nil"/>
              <w:left w:val="nil"/>
              <w:bottom w:val="nil"/>
              <w:right w:val="nil"/>
            </w:tcBorders>
            <w:shd w:val="clear" w:color="000000" w:fill="D9D9D9"/>
            <w:noWrap/>
            <w:vAlign w:val="bottom"/>
            <w:hideMark/>
          </w:tcPr>
          <w:p w14:paraId="11574C73" w14:textId="401F7B2A" w:rsidR="00B751CE" w:rsidRPr="000D4EC0" w:rsidRDefault="00FD7FE6" w:rsidP="00405E06">
            <w:pPr>
              <w:jc w:val="center"/>
              <w:rPr>
                <w:rFonts w:cs="Arial"/>
                <w:color w:val="000000"/>
              </w:rPr>
            </w:pPr>
            <w:r>
              <w:rPr>
                <w:rFonts w:cs="Arial"/>
                <w:color w:val="000000"/>
              </w:rPr>
              <w:t>61</w:t>
            </w:r>
          </w:p>
        </w:tc>
        <w:tc>
          <w:tcPr>
            <w:tcW w:w="843" w:type="dxa"/>
            <w:tcBorders>
              <w:top w:val="nil"/>
              <w:left w:val="nil"/>
              <w:bottom w:val="nil"/>
              <w:right w:val="nil"/>
            </w:tcBorders>
            <w:shd w:val="clear" w:color="000000" w:fill="D9D9D9"/>
            <w:noWrap/>
            <w:vAlign w:val="bottom"/>
            <w:hideMark/>
          </w:tcPr>
          <w:p w14:paraId="5D1C83E9" w14:textId="12C4D333" w:rsidR="00B751CE" w:rsidRPr="000D4EC0" w:rsidRDefault="00FD7FE6" w:rsidP="00405E06">
            <w:pPr>
              <w:jc w:val="center"/>
              <w:rPr>
                <w:rFonts w:cs="Arial"/>
                <w:color w:val="000000"/>
              </w:rPr>
            </w:pPr>
            <w:r>
              <w:rPr>
                <w:rFonts w:cs="Arial"/>
                <w:color w:val="000000"/>
              </w:rPr>
              <w:t>1,850</w:t>
            </w:r>
          </w:p>
        </w:tc>
      </w:tr>
      <w:tr w:rsidR="00B751CE" w:rsidRPr="000D4EC0" w14:paraId="7B94E274" w14:textId="77777777" w:rsidTr="00405E06">
        <w:trPr>
          <w:trHeight w:val="320"/>
          <w:jc w:val="center"/>
        </w:trPr>
        <w:tc>
          <w:tcPr>
            <w:tcW w:w="3714" w:type="dxa"/>
            <w:tcBorders>
              <w:top w:val="nil"/>
              <w:left w:val="nil"/>
              <w:bottom w:val="nil"/>
              <w:right w:val="nil"/>
            </w:tcBorders>
            <w:shd w:val="clear" w:color="auto" w:fill="auto"/>
            <w:noWrap/>
            <w:vAlign w:val="bottom"/>
            <w:hideMark/>
          </w:tcPr>
          <w:p w14:paraId="7797569F" w14:textId="77777777" w:rsidR="00B751CE" w:rsidRPr="000D4EC0" w:rsidRDefault="00B751CE" w:rsidP="00405E06">
            <w:pPr>
              <w:rPr>
                <w:rFonts w:cs="Arial"/>
                <w:color w:val="000000"/>
              </w:rPr>
            </w:pPr>
            <w:r w:rsidRPr="000D4EC0">
              <w:rPr>
                <w:rFonts w:cs="Arial"/>
                <w:color w:val="000000"/>
              </w:rPr>
              <w:t>No cancer</w:t>
            </w:r>
          </w:p>
        </w:tc>
        <w:tc>
          <w:tcPr>
            <w:tcW w:w="1681" w:type="dxa"/>
            <w:tcBorders>
              <w:top w:val="nil"/>
              <w:left w:val="nil"/>
              <w:bottom w:val="nil"/>
              <w:right w:val="nil"/>
            </w:tcBorders>
            <w:shd w:val="clear" w:color="auto" w:fill="auto"/>
            <w:noWrap/>
            <w:vAlign w:val="bottom"/>
            <w:hideMark/>
          </w:tcPr>
          <w:p w14:paraId="03E30801" w14:textId="3210396C" w:rsidR="00B751CE" w:rsidRPr="000D4EC0" w:rsidRDefault="00986263" w:rsidP="00405E06">
            <w:pPr>
              <w:jc w:val="center"/>
              <w:rPr>
                <w:rFonts w:cs="Arial"/>
                <w:color w:val="000000"/>
              </w:rPr>
            </w:pPr>
            <w:r>
              <w:rPr>
                <w:rFonts w:cs="Arial"/>
                <w:color w:val="000000"/>
              </w:rPr>
              <w:t>1,191</w:t>
            </w:r>
          </w:p>
        </w:tc>
        <w:tc>
          <w:tcPr>
            <w:tcW w:w="1502" w:type="dxa"/>
            <w:tcBorders>
              <w:top w:val="nil"/>
              <w:left w:val="nil"/>
              <w:bottom w:val="nil"/>
              <w:right w:val="nil"/>
            </w:tcBorders>
            <w:shd w:val="clear" w:color="auto" w:fill="auto"/>
            <w:noWrap/>
            <w:vAlign w:val="bottom"/>
            <w:hideMark/>
          </w:tcPr>
          <w:p w14:paraId="37B6B39A" w14:textId="6AF4EACC" w:rsidR="00B751CE" w:rsidRPr="000D4EC0" w:rsidRDefault="00FD7FE6" w:rsidP="00405E06">
            <w:pPr>
              <w:jc w:val="center"/>
              <w:rPr>
                <w:rFonts w:cs="Arial"/>
                <w:color w:val="000000"/>
              </w:rPr>
            </w:pPr>
            <w:r>
              <w:rPr>
                <w:rFonts w:cs="Arial"/>
                <w:color w:val="000000"/>
              </w:rPr>
              <w:t>2,</w:t>
            </w:r>
            <w:r w:rsidR="00986263">
              <w:rPr>
                <w:rFonts w:cs="Arial"/>
                <w:color w:val="000000"/>
              </w:rPr>
              <w:t>090</w:t>
            </w:r>
          </w:p>
        </w:tc>
        <w:tc>
          <w:tcPr>
            <w:tcW w:w="843" w:type="dxa"/>
            <w:tcBorders>
              <w:top w:val="nil"/>
              <w:left w:val="nil"/>
              <w:bottom w:val="nil"/>
              <w:right w:val="nil"/>
            </w:tcBorders>
            <w:shd w:val="clear" w:color="auto" w:fill="auto"/>
            <w:noWrap/>
            <w:vAlign w:val="bottom"/>
            <w:hideMark/>
          </w:tcPr>
          <w:p w14:paraId="7714FF59" w14:textId="7122388F" w:rsidR="00B751CE" w:rsidRPr="000D4EC0" w:rsidRDefault="00FD7FE6" w:rsidP="00405E06">
            <w:pPr>
              <w:jc w:val="center"/>
              <w:rPr>
                <w:rFonts w:cs="Arial"/>
                <w:color w:val="000000"/>
              </w:rPr>
            </w:pPr>
            <w:r>
              <w:rPr>
                <w:rFonts w:cs="Arial"/>
                <w:color w:val="000000"/>
              </w:rPr>
              <w:t>3,</w:t>
            </w:r>
            <w:r w:rsidR="00986263">
              <w:rPr>
                <w:rFonts w:cs="Arial"/>
                <w:color w:val="000000"/>
              </w:rPr>
              <w:t>281</w:t>
            </w:r>
          </w:p>
        </w:tc>
      </w:tr>
      <w:tr w:rsidR="00986263" w:rsidRPr="000D4EC0" w14:paraId="172F5042" w14:textId="77777777" w:rsidTr="00405E06">
        <w:trPr>
          <w:trHeight w:val="320"/>
          <w:jc w:val="center"/>
        </w:trPr>
        <w:tc>
          <w:tcPr>
            <w:tcW w:w="3714" w:type="dxa"/>
            <w:tcBorders>
              <w:top w:val="nil"/>
              <w:left w:val="nil"/>
              <w:bottom w:val="single" w:sz="4" w:space="0" w:color="auto"/>
              <w:right w:val="nil"/>
            </w:tcBorders>
            <w:shd w:val="clear" w:color="auto" w:fill="auto"/>
            <w:noWrap/>
            <w:vAlign w:val="bottom"/>
          </w:tcPr>
          <w:p w14:paraId="1EBDFEC8" w14:textId="73B69158" w:rsidR="00986263" w:rsidRPr="000D4EC0" w:rsidRDefault="00986263" w:rsidP="00405E06">
            <w:pPr>
              <w:rPr>
                <w:rFonts w:cs="Arial"/>
                <w:color w:val="000000"/>
              </w:rPr>
            </w:pPr>
            <w:r>
              <w:rPr>
                <w:rFonts w:cs="Arial"/>
                <w:color w:val="000000"/>
              </w:rPr>
              <w:t>Missing</w:t>
            </w:r>
          </w:p>
        </w:tc>
        <w:tc>
          <w:tcPr>
            <w:tcW w:w="1681" w:type="dxa"/>
            <w:tcBorders>
              <w:top w:val="nil"/>
              <w:left w:val="nil"/>
              <w:bottom w:val="single" w:sz="4" w:space="0" w:color="auto"/>
              <w:right w:val="nil"/>
            </w:tcBorders>
            <w:shd w:val="clear" w:color="auto" w:fill="auto"/>
            <w:noWrap/>
            <w:vAlign w:val="bottom"/>
          </w:tcPr>
          <w:p w14:paraId="79E3EFF5" w14:textId="5608D888" w:rsidR="00986263" w:rsidRDefault="00986263" w:rsidP="00405E06">
            <w:pPr>
              <w:jc w:val="center"/>
              <w:rPr>
                <w:rFonts w:cs="Arial"/>
                <w:color w:val="000000"/>
              </w:rPr>
            </w:pPr>
            <w:r>
              <w:rPr>
                <w:rFonts w:cs="Arial"/>
                <w:color w:val="000000"/>
              </w:rPr>
              <w:t>202</w:t>
            </w:r>
          </w:p>
        </w:tc>
        <w:tc>
          <w:tcPr>
            <w:tcW w:w="1502" w:type="dxa"/>
            <w:tcBorders>
              <w:top w:val="nil"/>
              <w:left w:val="nil"/>
              <w:bottom w:val="single" w:sz="4" w:space="0" w:color="auto"/>
              <w:right w:val="nil"/>
            </w:tcBorders>
            <w:shd w:val="clear" w:color="auto" w:fill="auto"/>
            <w:noWrap/>
            <w:vAlign w:val="bottom"/>
          </w:tcPr>
          <w:p w14:paraId="387977C6" w14:textId="2B40CA2B" w:rsidR="00986263" w:rsidRPr="000D4EC0" w:rsidRDefault="00986263" w:rsidP="00405E06">
            <w:pPr>
              <w:jc w:val="center"/>
              <w:rPr>
                <w:rFonts w:cs="Arial"/>
                <w:color w:val="000000"/>
              </w:rPr>
            </w:pPr>
            <w:r>
              <w:rPr>
                <w:rFonts w:cs="Arial"/>
                <w:color w:val="000000"/>
              </w:rPr>
              <w:t>165</w:t>
            </w:r>
          </w:p>
        </w:tc>
        <w:tc>
          <w:tcPr>
            <w:tcW w:w="843" w:type="dxa"/>
            <w:tcBorders>
              <w:top w:val="nil"/>
              <w:left w:val="nil"/>
              <w:bottom w:val="single" w:sz="4" w:space="0" w:color="auto"/>
              <w:right w:val="nil"/>
            </w:tcBorders>
            <w:shd w:val="clear" w:color="auto" w:fill="auto"/>
            <w:noWrap/>
            <w:vAlign w:val="bottom"/>
          </w:tcPr>
          <w:p w14:paraId="26F4C4D1" w14:textId="4EC81CAF" w:rsidR="00986263" w:rsidRPr="000D4EC0" w:rsidRDefault="00986263" w:rsidP="00405E06">
            <w:pPr>
              <w:jc w:val="center"/>
              <w:rPr>
                <w:rFonts w:cs="Arial"/>
                <w:color w:val="000000"/>
              </w:rPr>
            </w:pPr>
            <w:r>
              <w:rPr>
                <w:rFonts w:cs="Arial"/>
                <w:color w:val="000000"/>
              </w:rPr>
              <w:t>367</w:t>
            </w:r>
          </w:p>
        </w:tc>
      </w:tr>
      <w:tr w:rsidR="00B751CE" w:rsidRPr="000D4EC0" w14:paraId="087994AF" w14:textId="77777777" w:rsidTr="00405E06">
        <w:trPr>
          <w:trHeight w:val="320"/>
          <w:jc w:val="center"/>
        </w:trPr>
        <w:tc>
          <w:tcPr>
            <w:tcW w:w="3714" w:type="dxa"/>
            <w:tcBorders>
              <w:top w:val="nil"/>
              <w:left w:val="nil"/>
              <w:bottom w:val="single" w:sz="4" w:space="0" w:color="auto"/>
              <w:right w:val="nil"/>
            </w:tcBorders>
            <w:shd w:val="clear" w:color="auto" w:fill="auto"/>
            <w:noWrap/>
            <w:vAlign w:val="bottom"/>
            <w:hideMark/>
          </w:tcPr>
          <w:p w14:paraId="525BA154" w14:textId="77777777" w:rsidR="00B751CE" w:rsidRPr="000D4EC0" w:rsidRDefault="00B751CE" w:rsidP="00405E06">
            <w:pPr>
              <w:rPr>
                <w:rFonts w:cs="Arial"/>
                <w:color w:val="000000"/>
              </w:rPr>
            </w:pPr>
            <w:r w:rsidRPr="000D4EC0">
              <w:rPr>
                <w:rFonts w:cs="Arial"/>
                <w:color w:val="000000"/>
              </w:rPr>
              <w:t>Total</w:t>
            </w:r>
          </w:p>
        </w:tc>
        <w:tc>
          <w:tcPr>
            <w:tcW w:w="1681" w:type="dxa"/>
            <w:tcBorders>
              <w:top w:val="nil"/>
              <w:left w:val="nil"/>
              <w:bottom w:val="single" w:sz="4" w:space="0" w:color="auto"/>
              <w:right w:val="nil"/>
            </w:tcBorders>
            <w:shd w:val="clear" w:color="auto" w:fill="auto"/>
            <w:noWrap/>
            <w:vAlign w:val="bottom"/>
            <w:hideMark/>
          </w:tcPr>
          <w:p w14:paraId="2048E365" w14:textId="50ABBB11" w:rsidR="00B751CE" w:rsidRPr="000D4EC0" w:rsidRDefault="00986263" w:rsidP="00405E06">
            <w:pPr>
              <w:jc w:val="center"/>
              <w:rPr>
                <w:rFonts w:cs="Arial"/>
                <w:color w:val="000000"/>
              </w:rPr>
            </w:pPr>
            <w:r>
              <w:rPr>
                <w:rFonts w:cs="Arial"/>
                <w:color w:val="000000"/>
              </w:rPr>
              <w:t>2,182</w:t>
            </w:r>
          </w:p>
        </w:tc>
        <w:tc>
          <w:tcPr>
            <w:tcW w:w="1502" w:type="dxa"/>
            <w:tcBorders>
              <w:top w:val="nil"/>
              <w:left w:val="nil"/>
              <w:bottom w:val="single" w:sz="4" w:space="0" w:color="auto"/>
              <w:right w:val="nil"/>
            </w:tcBorders>
            <w:shd w:val="clear" w:color="auto" w:fill="auto"/>
            <w:noWrap/>
            <w:vAlign w:val="bottom"/>
            <w:hideMark/>
          </w:tcPr>
          <w:p w14:paraId="27484A66" w14:textId="69A08099" w:rsidR="00B751CE" w:rsidRPr="000D4EC0" w:rsidRDefault="00B751CE" w:rsidP="00405E06">
            <w:pPr>
              <w:jc w:val="center"/>
              <w:rPr>
                <w:rFonts w:cs="Arial"/>
                <w:color w:val="000000"/>
              </w:rPr>
            </w:pPr>
            <w:r w:rsidRPr="000D4EC0">
              <w:rPr>
                <w:rFonts w:cs="Arial"/>
                <w:color w:val="000000"/>
              </w:rPr>
              <w:t>2,</w:t>
            </w:r>
            <w:r w:rsidR="00986263">
              <w:rPr>
                <w:rFonts w:cs="Arial"/>
                <w:color w:val="000000"/>
              </w:rPr>
              <w:t>316</w:t>
            </w:r>
          </w:p>
        </w:tc>
        <w:tc>
          <w:tcPr>
            <w:tcW w:w="843" w:type="dxa"/>
            <w:tcBorders>
              <w:top w:val="nil"/>
              <w:left w:val="nil"/>
              <w:bottom w:val="single" w:sz="4" w:space="0" w:color="auto"/>
              <w:right w:val="nil"/>
            </w:tcBorders>
            <w:shd w:val="clear" w:color="auto" w:fill="auto"/>
            <w:noWrap/>
            <w:vAlign w:val="bottom"/>
            <w:hideMark/>
          </w:tcPr>
          <w:p w14:paraId="1B5AE115" w14:textId="37C5D2E5" w:rsidR="00B751CE" w:rsidRPr="000D4EC0" w:rsidRDefault="00B751CE" w:rsidP="00405E06">
            <w:pPr>
              <w:jc w:val="center"/>
              <w:rPr>
                <w:rFonts w:cs="Arial"/>
                <w:color w:val="000000"/>
              </w:rPr>
            </w:pPr>
            <w:r w:rsidRPr="000D4EC0">
              <w:rPr>
                <w:rFonts w:cs="Arial"/>
                <w:color w:val="000000"/>
              </w:rPr>
              <w:t>5,49</w:t>
            </w:r>
            <w:r w:rsidR="00986263">
              <w:rPr>
                <w:rFonts w:cs="Arial"/>
                <w:color w:val="000000"/>
              </w:rPr>
              <w:t>8</w:t>
            </w:r>
          </w:p>
        </w:tc>
      </w:tr>
      <w:tr w:rsidR="00B751CE" w:rsidRPr="000D4EC0" w14:paraId="17087B27" w14:textId="77777777" w:rsidTr="00405E06">
        <w:trPr>
          <w:trHeight w:val="640"/>
          <w:jc w:val="center"/>
        </w:trPr>
        <w:tc>
          <w:tcPr>
            <w:tcW w:w="7740" w:type="dxa"/>
            <w:gridSpan w:val="4"/>
            <w:tcBorders>
              <w:top w:val="single" w:sz="4" w:space="0" w:color="auto"/>
              <w:left w:val="nil"/>
              <w:bottom w:val="nil"/>
              <w:right w:val="nil"/>
            </w:tcBorders>
            <w:shd w:val="clear" w:color="auto" w:fill="auto"/>
            <w:hideMark/>
          </w:tcPr>
          <w:p w14:paraId="3B49BDF0" w14:textId="6C2C7712" w:rsidR="00B751CE" w:rsidRPr="000D4EC0" w:rsidRDefault="00B751CE" w:rsidP="00405E06">
            <w:pPr>
              <w:rPr>
                <w:rFonts w:cs="Arial"/>
                <w:color w:val="000000"/>
              </w:rPr>
            </w:pPr>
            <w:r w:rsidRPr="000D4EC0">
              <w:rPr>
                <w:rFonts w:cs="Arial"/>
                <w:color w:val="000000"/>
              </w:rPr>
              <w:t xml:space="preserve">Qualifying cancer codes from the EHR are presented in </w:t>
            </w:r>
            <w:r w:rsidRPr="000D4EC0">
              <w:rPr>
                <w:rFonts w:cs="Arial"/>
                <w:b/>
                <w:bCs/>
                <w:color w:val="000000"/>
              </w:rPr>
              <w:t>Table S</w:t>
            </w:r>
            <w:r w:rsidR="009526D5">
              <w:rPr>
                <w:rFonts w:cs="Arial"/>
                <w:b/>
                <w:bCs/>
                <w:color w:val="000000"/>
              </w:rPr>
              <w:t>9</w:t>
            </w:r>
            <w:r w:rsidRPr="002A608E">
              <w:rPr>
                <w:rFonts w:cs="Arial"/>
                <w:color w:val="000000"/>
              </w:rPr>
              <w:t>.</w:t>
            </w:r>
            <w:r w:rsidRPr="000D4EC0">
              <w:rPr>
                <w:rFonts w:cs="Arial"/>
                <w:color w:val="000000"/>
              </w:rPr>
              <w:t xml:space="preserve"> Cohen's kappa among non-missing = 0.</w:t>
            </w:r>
            <w:r w:rsidR="00986263">
              <w:rPr>
                <w:rFonts w:cs="Arial"/>
                <w:color w:val="000000"/>
              </w:rPr>
              <w:t>668</w:t>
            </w:r>
          </w:p>
        </w:tc>
      </w:tr>
    </w:tbl>
    <w:p w14:paraId="7404C30D" w14:textId="77777777" w:rsidR="00B751CE" w:rsidRDefault="00B751CE" w:rsidP="007B5374"/>
    <w:p w14:paraId="5900F5A1" w14:textId="3F5E9E04" w:rsidR="00876907" w:rsidRDefault="00876907" w:rsidP="007B5374">
      <w:r>
        <w:t>A non-negligible number of participants (</w:t>
      </w:r>
      <w:r w:rsidR="00986263">
        <w:t>1,191</w:t>
      </w:r>
      <w:r>
        <w:t xml:space="preserve"> among </w:t>
      </w:r>
      <w:r w:rsidR="009526D5">
        <w:t>3,281</w:t>
      </w:r>
      <w:r w:rsidR="00FD7FE6">
        <w:t xml:space="preserve">; </w:t>
      </w:r>
      <w:r w:rsidR="009526D5">
        <w:t>36.3</w:t>
      </w:r>
      <w:r w:rsidR="00FD7FE6">
        <w:t>%</w:t>
      </w:r>
      <w:r>
        <w:t>) self-reported that they did not have cancer while they were defined has having a history of cancer based on their EHR. This section presents related comments in addition to the proposed explanations for the discrepancy discussed in the main text.</w:t>
      </w:r>
    </w:p>
    <w:p w14:paraId="523DA440" w14:textId="77777777" w:rsidR="00876907" w:rsidRDefault="00876907" w:rsidP="007B5374"/>
    <w:p w14:paraId="36B0BDF4" w14:textId="0A73F482" w:rsidR="00876907" w:rsidRDefault="00876907" w:rsidP="007B5374">
      <w:r w:rsidRPr="00876907">
        <w:t>Misclassification can exist both from incomplete EHR (not designed for research) across the US’ fragmented healthcare system</w:t>
      </w:r>
      <w:r w:rsidR="004924C5">
        <w:t xml:space="preserve"> </w:t>
      </w:r>
      <w:r>
        <w:fldChar w:fldCharType="begin"/>
      </w:r>
      <w:r w:rsidR="004924C5">
        <w:instrText xml:space="preserve"> ADDIN ZOTERO_ITEM CSL_CITATION {"citationID":"wh4AXdiy","properties":{"formattedCitation":"(20)","plainCitation":"(20)","noteIndex":0},"citationItems":[{"id":4460,"uris":["http://zotero.org/users/4902889/items/7P3QAPCG"],"itemData":{"id":4460,"type":"article-journal","container-title":"Current Epidemiology Reports","DOI":"10.1007/s40471-018-0164-x","ISSN":"2196-2995","issue":"4","journalAbbreviation":"Curr Epidemiol Rep","language":"en","page":"343-356","source":"DOI.org (Crossref)","title":"Measurement Error and Misclassification in Electronic Medical Records: Methods to Mitigate Bias","title-short":"Measurement Error and Misclassification in Electronic Medical Records","volume":"5","author":[{"family":"Young","given":"Jessica C."},{"family":"Conover","given":"Mitchell M."},{"family":"Jonsson Funk","given":"Michele"}],"issued":{"date-parts":[["2018",12]]}}}],"schema":"https://github.com/citation-style-language/schema/raw/master/csl-citation.json"} </w:instrText>
      </w:r>
      <w:r>
        <w:fldChar w:fldCharType="separate"/>
      </w:r>
      <w:r w:rsidR="004924C5">
        <w:rPr>
          <w:noProof/>
        </w:rPr>
        <w:t>(20)</w:t>
      </w:r>
      <w:r>
        <w:fldChar w:fldCharType="end"/>
      </w:r>
      <w:r w:rsidRPr="00876907">
        <w:t xml:space="preserve"> and also from recall and self-reporting bias from patient-provided information (e.g., as in a survey like EPI-Q); both of which are well documented</w:t>
      </w:r>
      <w:r w:rsidR="004924C5">
        <w:t xml:space="preserve"> </w:t>
      </w:r>
      <w:r w:rsidR="004924C5">
        <w:fldChar w:fldCharType="begin"/>
      </w:r>
      <w:r w:rsidR="004924C5">
        <w:instrText xml:space="preserve"> ADDIN ZOTERO_ITEM CSL_CITATION {"citationID":"H8lSFwNT","properties":{"formattedCitation":"(21,22)","plainCitation":"(21,22)","noteIndex":0},"citationItems":[{"id":4462,"uris":["http://zotero.org/users/4902889/items/VY9CL6BH"],"itemData":{"id":4462,"type":"article-journal","abstract":"Abstract\n            Electronic health records (EHRs) are widely used in epidemiological research, but the validity of the results is dependent upon the assumptions made about the healthcare system, the patient, and the provider. In this review, we identify four overarching challenges in using EHR-based data for epidemiological analysis, with a particular emphasis on threats to validity. These challenges include representativeness of the EHR to a target population, the availability and interpretability of clinical and non-clinical data, and missing data at both the variable and observation levels. Each challenge reveals layers of assumptions that the epidemiologist is required to make, from the point of patient entry into the healthcare system, to the provider documenting the results of the clinical exam and follow-up of the patient longitudinally; all with the potential to bias the results of analysis of these data. Understanding the extent of as well as remediating potential biases requires a variety of methodological approaches, from traditional sensitivity analyses and validation studies, to newer techniques such as natural language processing. Beyond methods to address these challenges, it will remain crucial for epidemiologists to engage with clinicians and informaticians at their institutions to ensure data quality and accessibility by forming multidisciplinary teams around specific research projects.","container-title":"BMC Medical Research Methodology","DOI":"10.1186/s12874-021-01416-5","ISSN":"1471-2288","issue":"1","journalAbbreviation":"BMC Med Res Methodol","language":"en","page":"234","source":"DOI.org (Crossref)","title":"A narrative review on the validity of electronic health record-based research in epidemiology","volume":"21","author":[{"family":"Gianfrancesco","given":"Milena A."},{"family":"Goldstein","given":"Neal D."}],"issued":{"date-parts":[["2021",12]]}}},{"id":115,"uris":["http://zotero.org/users/4902889/items/PPBEKSGQ"],"itemData":{"id":115,"type":"article-journal","container-title":"Journal of Biomedical Informatics","DOI":"10.1016/j.jbi.2022.104269","ISSN":"15320464","journalAbbreviation":"Journal of Biomedical Informatics","language":"en","page":"104269","source":"DOI.org (Crossref)","title":"Mining for equitable health: Assessing the impact of missing data in electronic health records","title-short":"Mining for equitable health","volume":"139","author":[{"family":"Getzen","given":"Emily"},{"family":"Ungar","given":"Lyle"},{"family":"Mowery","given":"Danielle"},{"family":"Jiang","given":"Xiaoqian"},{"family":"Long","given":"Qi"}],"issued":{"date-parts":[["2023",3]]}}}],"schema":"https://github.com/citation-style-language/schema/raw/master/csl-citation.json"} </w:instrText>
      </w:r>
      <w:r w:rsidR="004924C5">
        <w:fldChar w:fldCharType="separate"/>
      </w:r>
      <w:r w:rsidR="004924C5">
        <w:rPr>
          <w:noProof/>
        </w:rPr>
        <w:t>(21,22)</w:t>
      </w:r>
      <w:r w:rsidR="004924C5">
        <w:fldChar w:fldCharType="end"/>
      </w:r>
      <w:r w:rsidRPr="00876907">
        <w:t>.</w:t>
      </w:r>
    </w:p>
    <w:p w14:paraId="04D0D63D" w14:textId="77777777" w:rsidR="004924C5" w:rsidRPr="001D7CE0" w:rsidRDefault="004924C5" w:rsidP="007B5374">
      <w:pPr>
        <w:rPr>
          <w:color w:val="000000" w:themeColor="text1"/>
        </w:rPr>
      </w:pPr>
    </w:p>
    <w:p w14:paraId="0B50F7B7" w14:textId="55AD0B4F" w:rsidR="004924C5" w:rsidRPr="001D7CE0" w:rsidRDefault="004924C5" w:rsidP="007B5374">
      <w:pPr>
        <w:rPr>
          <w:rFonts w:cs="Arial"/>
          <w:color w:val="000000" w:themeColor="text1"/>
        </w:rPr>
      </w:pPr>
      <w:r w:rsidRPr="001D7CE0">
        <w:rPr>
          <w:rFonts w:cs="Arial"/>
          <w:color w:val="000000" w:themeColor="text1"/>
        </w:rPr>
        <w:t>UM Precision Health cohorts only have access to a participant’s Michigan Medicine EHR. As a result, it is expected for there to be individuals who self-report a history of cancer that may not appear on their Michigan Medicine EHR. In the future, EPI-Q has mechanisms that will allow participants to share third-party EHR data (e.g., from their primary care healthcare provider), which would improve the completeness of the EHR data.</w:t>
      </w:r>
    </w:p>
    <w:p w14:paraId="73100814" w14:textId="77777777" w:rsidR="004924C5" w:rsidRDefault="004924C5" w:rsidP="007B5374">
      <w:pPr>
        <w:rPr>
          <w:rFonts w:cs="Arial"/>
          <w:color w:val="4A86E8"/>
        </w:rPr>
      </w:pPr>
    </w:p>
    <w:p w14:paraId="74FEDB7F" w14:textId="5239F4DC" w:rsidR="004924C5" w:rsidRDefault="004924C5" w:rsidP="007B5374">
      <w:r>
        <w:rPr>
          <w:rFonts w:cs="Arial"/>
        </w:rPr>
        <w:t xml:space="preserve">EHR-defined traits vary in their level of misclassification. For a trait like cancer, it is expected that that is a relatively low change for there to be a false positive. However, this misclassification could be much higher for other conditions. </w:t>
      </w:r>
      <w:r w:rsidRPr="004924C5">
        <w:t>Because of how EHR data are collected, it is not practicably possible to fix in the design stage, but there are ways to account for this and describe robustness of results to misclassification in the analysis phase.</w:t>
      </w:r>
      <w:r>
        <w:t xml:space="preserve"> For example, </w:t>
      </w:r>
      <w:r w:rsidRPr="004924C5">
        <w:t>methods like double or multi-wave sampling strategies that could be employed in an attempt to improve accuracy of association estimation due to, at least in part, the presence of misclassification</w:t>
      </w:r>
      <w:r>
        <w:t xml:space="preserve"> </w:t>
      </w:r>
      <w:r>
        <w:fldChar w:fldCharType="begin"/>
      </w:r>
      <w:r>
        <w:instrText xml:space="preserve"> ADDIN ZOTERO_ITEM CSL_CITATION {"citationID":"0OAfYDO9","properties":{"formattedCitation":"(23\\uc0\\u8211{}25)","plainCitation":"(23–25)","noteIndex":0},"citationItems":[{"id":4466,"uris":["http://zotero.org/users/4902889/items/9UKAQJRB"],"itemData":{"id":4466,"type":"article-journal","abstract":"Abstract\n            \n              Objectives\n              Electronic health records (EHRs) enable investigation of the association between phenotypes and risk factors. However, studies solely relying on potentially error-prone EHR-derived phenotypes (ie, surrogates) are subject to bias. Analyses of low prevalence phenotypes may also suffer from poor efficiency. Existing methods typically focus on one of these issues but seldom address both. This study aims to simultaneously address both issues by developing new sampling methods to select an optimal subsample to collect gold standard phenotypes for improving the accuracy of association estimation.\n            \n            \n              Materials and Methods\n              We develop a surrogate-assisted two-wave (SAT) sampling method, where a surrogate-guided sampling (SGS) procedure and a modified optimal subsampling procedure motivated from A-optimality criterion (OSMAC) are employed sequentially, to select a subsample for outcome validation through manual chart review subject to budget constraints. A model is then fitted based on the subsample with the true phenotypes. Simulation studies and an application to an EHR dataset of breast cancer survivors are conducted to demonstrate the effectiveness of SAT.\n            \n            \n              Results\n              We found that the subsample selected with the proposed method contains informative observations that effectively reduce the mean squared error of the resultant estimator of the association.\n            \n            \n              Conclusions\n              The proposed approach can handle the problem brought by the rarity of cases and misclassification of the surrogate in phenotype-absent EHR-based association studies. With a well-behaved surrogate, SAT successfully boosts the case prevalence in the subsample and improves the efficiency of estimation.","container-title":"Journal of the American Medical Informatics Association","DOI":"10.1093/jamia/ocab267","ISSN":"1527-974X","issue":"5","language":"en","page":"918-927","source":"DOI.org (Crossref)","title":"SAT: a Surrogate-Assisted Two-wave case boosting sampling method, with application to EHR-based association studies","title-short":"SAT","volume":"29","author":[{"family":"Liu","given":"Xiaokang"},{"family":"Chubak","given":"Jessica"},{"family":"Hubbard","given":"Rebecca A"},{"family":"Chen","given":"Yong"}],"issued":{"date-parts":[["2022",4,13]]}}},{"id":4468,"uris":["http://zotero.org/users/4902889/items/9V4UKT98"],"itemData":{"id":4468,"type":"article-journal","container-title":"Canadian Journal of Statistics","DOI":"10.1002/cjs.11772","ISSN":"0319-5724, 1708-945X","journalAbbreviation":"Can J Statistics","language":"en","page":"cjs.11772","source":"DOI.org (Crossref)","title":"Optimal multiwave validation of secondary use data with outcome and exposure misclassification","author":[{"family":"Lotspeich","given":"Sarah C."},{"family":"Amorim","given":"Gustavo G. C."},{"family":"Shaw","given":"Pamela A."},{"family":"Tao","given":"Ran"},{"family":"Shepherd","given":"Bryan E."}],"issued":{"date-parts":[["2023",3,31]]}}},{"id":4470,"uris":["http://zotero.org/users/4902889/items/38UMMVFR"],"itemData":{"id":4470,"type":"article-journal","container-title":"Journal of the American Statistical Association","DOI":"10.1080/01621459.1977.10479983","ISSN":"0162-1459, 1537-274X","issue":"360a","journalAbbreviation":"Journal of the American Statistical Association","language":"en","page":"914-921","source":"DOI.org (Crossref)","title":"On the Use of Double Sampling Schemes in Analyzing Categorical Data with Misclassification Errors","volume":"72","author":[{"family":"Hochberg","given":"Yosef"}],"issued":{"date-parts":[["1977",12]]}}}],"schema":"https://github.com/citation-style-language/schema/raw/master/csl-citation.json"} </w:instrText>
      </w:r>
      <w:r>
        <w:fldChar w:fldCharType="separate"/>
      </w:r>
      <w:r w:rsidRPr="004924C5">
        <w:rPr>
          <w:rFonts w:cs="Arial"/>
        </w:rPr>
        <w:t>(23–25)</w:t>
      </w:r>
      <w:r>
        <w:fldChar w:fldCharType="end"/>
      </w:r>
      <w:r>
        <w:t>.</w:t>
      </w:r>
    </w:p>
    <w:p w14:paraId="1E5FA9A3" w14:textId="77777777" w:rsidR="004924C5" w:rsidRDefault="004924C5" w:rsidP="007B5374"/>
    <w:p w14:paraId="2B3415AA" w14:textId="12E26EBF" w:rsidR="004924C5" w:rsidRPr="001D7CE0" w:rsidRDefault="004924C5" w:rsidP="007B5374">
      <w:pPr>
        <w:rPr>
          <w:u w:val="single"/>
        </w:rPr>
      </w:pPr>
      <w:r>
        <w:rPr>
          <w:u w:val="single"/>
        </w:rPr>
        <w:t>Investigation into EHR-defined vs. self-reported cancer status in EPI-Q</w:t>
      </w:r>
    </w:p>
    <w:p w14:paraId="0DAE81A9" w14:textId="699B4B64" w:rsidR="004924C5" w:rsidRPr="001D7CE0" w:rsidRDefault="004924C5" w:rsidP="007B5374">
      <w:pPr>
        <w:rPr>
          <w:rFonts w:cs="Arial"/>
        </w:rPr>
      </w:pPr>
      <w:r w:rsidRPr="004924C5">
        <w:rPr>
          <w:rFonts w:cs="Arial"/>
        </w:rPr>
        <w:t xml:space="preserve">After restricting to the initial occurrence of a given </w:t>
      </w:r>
      <w:proofErr w:type="spellStart"/>
      <w:r w:rsidRPr="004924C5">
        <w:rPr>
          <w:rFonts w:cs="Arial"/>
        </w:rPr>
        <w:t>phecode</w:t>
      </w:r>
      <w:proofErr w:type="spellEnd"/>
      <w:r w:rsidRPr="004924C5">
        <w:rPr>
          <w:rFonts w:cs="Arial"/>
        </w:rPr>
        <w:t xml:space="preserve">, we found that among the 3,193 individuals who were defined as having cancer using their whole EHR, 99.7% (n = 3,182) retained their cancer history status after restricting EHR to age 18+. Of those 11 individuals who had their only initial cancer diagnosis during childhood, there were 10 </w:t>
      </w:r>
      <w:r w:rsidRPr="004924C5">
        <w:rPr>
          <w:rFonts w:cs="Arial"/>
        </w:rPr>
        <w:lastRenderedPageBreak/>
        <w:t>different cancer diagnoses [</w:t>
      </w:r>
      <w:proofErr w:type="spellStart"/>
      <w:r w:rsidRPr="004924C5">
        <w:rPr>
          <w:rFonts w:cs="Arial"/>
        </w:rPr>
        <w:t>phecode</w:t>
      </w:r>
      <w:proofErr w:type="spellEnd"/>
      <w:r w:rsidRPr="004924C5">
        <w:rPr>
          <w:rFonts w:cs="Arial"/>
        </w:rPr>
        <w:t>]: chemotherapy [197] (x2), cancer of esophagus [150], neoplasm of unspecified nature of digestive system [158], other non-epithelial cancer of skin [172.2], malignant neoplasm of kidney, except pelvis [189.11], cancer of bladder [189.2], malignant and unknown neoplasms of brain and nervous system [191], malignant neoplasm, other [195.1], myeloproliferative disease [200], myeloid leukemia, acute [204.21].</w:t>
      </w:r>
      <w:r>
        <w:rPr>
          <w:rFonts w:cs="Arial"/>
        </w:rPr>
        <w:t xml:space="preserve"> This indicates that the discrepancy seen is not attributable to high rates of childhood cancer diagnoses that participants either do not remember or do not consider cancer diagnoses.</w:t>
      </w:r>
    </w:p>
    <w:p w14:paraId="2417D1AC" w14:textId="77777777" w:rsidR="004924C5" w:rsidRDefault="004924C5"/>
    <w:p w14:paraId="1F41271C" w14:textId="36E23B73" w:rsidR="00124715" w:rsidRPr="00124715" w:rsidRDefault="004924C5" w:rsidP="00C575C6">
      <w:pPr>
        <w:rPr>
          <w:b/>
          <w:bCs/>
        </w:rPr>
      </w:pPr>
      <w:r w:rsidRPr="004924C5">
        <w:t xml:space="preserve">We report the proportion of individuals self-reporting history of cancer via the EPI-Q survey that have a recorded EHR diagnosis by ICD-derived </w:t>
      </w:r>
      <w:proofErr w:type="spellStart"/>
      <w:r w:rsidRPr="004924C5">
        <w:t>phecode</w:t>
      </w:r>
      <w:proofErr w:type="spellEnd"/>
      <w:r w:rsidRPr="004924C5">
        <w:t xml:space="preserve"> in </w:t>
      </w:r>
      <w:r w:rsidR="00360921">
        <w:rPr>
          <w:b/>
          <w:bCs/>
        </w:rPr>
        <w:t>Supplementary Material 20</w:t>
      </w:r>
      <w:r w:rsidRPr="004924C5">
        <w:t>.</w:t>
      </w:r>
    </w:p>
    <w:sectPr w:rsidR="00124715" w:rsidRPr="00124715" w:rsidSect="00B55FF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3060" w14:textId="77777777" w:rsidR="00834751" w:rsidRDefault="00834751" w:rsidP="00C20C53">
      <w:r>
        <w:separator/>
      </w:r>
    </w:p>
  </w:endnote>
  <w:endnote w:type="continuationSeparator" w:id="0">
    <w:p w14:paraId="6F262E54" w14:textId="77777777" w:rsidR="00834751" w:rsidRDefault="00834751" w:rsidP="00C2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Body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340123913"/>
      <w:docPartObj>
        <w:docPartGallery w:val="Page Numbers (Bottom of Page)"/>
        <w:docPartUnique/>
      </w:docPartObj>
    </w:sdtPr>
    <w:sdtContent>
      <w:p w14:paraId="5EF8AF27" w14:textId="762E672A" w:rsidR="00C20C53" w:rsidRDefault="00C20C53" w:rsidP="00D46332">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sidR="0016175A">
          <w:rPr>
            <w:rStyle w:val="a5"/>
            <w:noProof/>
          </w:rPr>
          <w:t>7</w:t>
        </w:r>
        <w:r>
          <w:rPr>
            <w:rStyle w:val="a5"/>
          </w:rPr>
          <w:fldChar w:fldCharType="end"/>
        </w:r>
      </w:p>
    </w:sdtContent>
  </w:sdt>
  <w:p w14:paraId="2BD67FFC" w14:textId="77777777" w:rsidR="00C20C53" w:rsidRDefault="00C20C53" w:rsidP="00C20C5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700160309"/>
      <w:docPartObj>
        <w:docPartGallery w:val="Page Numbers (Bottom of Page)"/>
        <w:docPartUnique/>
      </w:docPartObj>
    </w:sdtPr>
    <w:sdtContent>
      <w:p w14:paraId="60BD5A1F" w14:textId="6746C827" w:rsidR="00C20C53" w:rsidRDefault="00C20C53" w:rsidP="00D46332">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5480800D" w14:textId="77777777" w:rsidR="00C20C53" w:rsidRDefault="00C20C53" w:rsidP="00C20C53">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3739" w14:textId="77777777" w:rsidR="00834751" w:rsidRDefault="00834751" w:rsidP="00C20C53">
      <w:r>
        <w:separator/>
      </w:r>
    </w:p>
  </w:footnote>
  <w:footnote w:type="continuationSeparator" w:id="0">
    <w:p w14:paraId="45C3A9A8" w14:textId="77777777" w:rsidR="00834751" w:rsidRDefault="00834751" w:rsidP="00C20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53"/>
    <w:rsid w:val="00004CE7"/>
    <w:rsid w:val="00012A49"/>
    <w:rsid w:val="00023A3B"/>
    <w:rsid w:val="00040DE1"/>
    <w:rsid w:val="000541FE"/>
    <w:rsid w:val="0006179F"/>
    <w:rsid w:val="00083C91"/>
    <w:rsid w:val="000845CB"/>
    <w:rsid w:val="00090296"/>
    <w:rsid w:val="000926A1"/>
    <w:rsid w:val="000954C4"/>
    <w:rsid w:val="000960B1"/>
    <w:rsid w:val="00097972"/>
    <w:rsid w:val="000B5CA3"/>
    <w:rsid w:val="000B7E43"/>
    <w:rsid w:val="000C5427"/>
    <w:rsid w:val="000E335E"/>
    <w:rsid w:val="001039F8"/>
    <w:rsid w:val="00103DD2"/>
    <w:rsid w:val="00123BC2"/>
    <w:rsid w:val="00124715"/>
    <w:rsid w:val="0016175A"/>
    <w:rsid w:val="0017091D"/>
    <w:rsid w:val="00172F8B"/>
    <w:rsid w:val="0018103A"/>
    <w:rsid w:val="001844E4"/>
    <w:rsid w:val="001B1A20"/>
    <w:rsid w:val="001B4FCB"/>
    <w:rsid w:val="001D7CE0"/>
    <w:rsid w:val="002039E4"/>
    <w:rsid w:val="0020760B"/>
    <w:rsid w:val="00241B8C"/>
    <w:rsid w:val="00247785"/>
    <w:rsid w:val="00276578"/>
    <w:rsid w:val="002A3A7A"/>
    <w:rsid w:val="002A5946"/>
    <w:rsid w:val="002A608E"/>
    <w:rsid w:val="002B40AC"/>
    <w:rsid w:val="002C2697"/>
    <w:rsid w:val="002C48DA"/>
    <w:rsid w:val="00307325"/>
    <w:rsid w:val="00313F8A"/>
    <w:rsid w:val="00336F22"/>
    <w:rsid w:val="00357554"/>
    <w:rsid w:val="00360921"/>
    <w:rsid w:val="00373CA5"/>
    <w:rsid w:val="0038508E"/>
    <w:rsid w:val="00395767"/>
    <w:rsid w:val="003A2ADA"/>
    <w:rsid w:val="003B6D54"/>
    <w:rsid w:val="00400425"/>
    <w:rsid w:val="00422F0A"/>
    <w:rsid w:val="004834A0"/>
    <w:rsid w:val="004924C5"/>
    <w:rsid w:val="004D258E"/>
    <w:rsid w:val="004D6D4E"/>
    <w:rsid w:val="004F60BB"/>
    <w:rsid w:val="00531B24"/>
    <w:rsid w:val="00580E4C"/>
    <w:rsid w:val="00593E5C"/>
    <w:rsid w:val="005B385C"/>
    <w:rsid w:val="005C1C3E"/>
    <w:rsid w:val="006168BA"/>
    <w:rsid w:val="0062660F"/>
    <w:rsid w:val="00661ED7"/>
    <w:rsid w:val="00676F03"/>
    <w:rsid w:val="00697559"/>
    <w:rsid w:val="006D3596"/>
    <w:rsid w:val="006E7D8A"/>
    <w:rsid w:val="007172B5"/>
    <w:rsid w:val="00726586"/>
    <w:rsid w:val="007454DC"/>
    <w:rsid w:val="00780C6E"/>
    <w:rsid w:val="007831BC"/>
    <w:rsid w:val="0079551F"/>
    <w:rsid w:val="007957A6"/>
    <w:rsid w:val="007B1B2B"/>
    <w:rsid w:val="007B324A"/>
    <w:rsid w:val="007B5374"/>
    <w:rsid w:val="007C27FA"/>
    <w:rsid w:val="007F6315"/>
    <w:rsid w:val="008012F9"/>
    <w:rsid w:val="00802AEA"/>
    <w:rsid w:val="00813C70"/>
    <w:rsid w:val="0083151D"/>
    <w:rsid w:val="00834751"/>
    <w:rsid w:val="008651EA"/>
    <w:rsid w:val="00876907"/>
    <w:rsid w:val="00891BB0"/>
    <w:rsid w:val="009526D5"/>
    <w:rsid w:val="00953083"/>
    <w:rsid w:val="009532C1"/>
    <w:rsid w:val="0095612D"/>
    <w:rsid w:val="009569F9"/>
    <w:rsid w:val="009645BC"/>
    <w:rsid w:val="00985085"/>
    <w:rsid w:val="00986263"/>
    <w:rsid w:val="009C144F"/>
    <w:rsid w:val="009C6494"/>
    <w:rsid w:val="009C73B0"/>
    <w:rsid w:val="009D78F5"/>
    <w:rsid w:val="009D7EC4"/>
    <w:rsid w:val="009E3048"/>
    <w:rsid w:val="00A04EF6"/>
    <w:rsid w:val="00A17800"/>
    <w:rsid w:val="00A26F3D"/>
    <w:rsid w:val="00A3614F"/>
    <w:rsid w:val="00A67DB8"/>
    <w:rsid w:val="00AA28E5"/>
    <w:rsid w:val="00B55FF5"/>
    <w:rsid w:val="00B63C10"/>
    <w:rsid w:val="00B751CE"/>
    <w:rsid w:val="00B76BFD"/>
    <w:rsid w:val="00B863B7"/>
    <w:rsid w:val="00B95960"/>
    <w:rsid w:val="00B9779C"/>
    <w:rsid w:val="00BA2B8D"/>
    <w:rsid w:val="00BB6D73"/>
    <w:rsid w:val="00C20C53"/>
    <w:rsid w:val="00C2332B"/>
    <w:rsid w:val="00C32248"/>
    <w:rsid w:val="00C3760F"/>
    <w:rsid w:val="00C53BAB"/>
    <w:rsid w:val="00C575C6"/>
    <w:rsid w:val="00CB7B94"/>
    <w:rsid w:val="00CD0F25"/>
    <w:rsid w:val="00CD5FD3"/>
    <w:rsid w:val="00D12E2E"/>
    <w:rsid w:val="00D32B09"/>
    <w:rsid w:val="00D47DF2"/>
    <w:rsid w:val="00DA2F12"/>
    <w:rsid w:val="00DE0A1B"/>
    <w:rsid w:val="00DE22DC"/>
    <w:rsid w:val="00DE3293"/>
    <w:rsid w:val="00E00356"/>
    <w:rsid w:val="00E07B8A"/>
    <w:rsid w:val="00E446F9"/>
    <w:rsid w:val="00E56670"/>
    <w:rsid w:val="00E6015F"/>
    <w:rsid w:val="00E74C36"/>
    <w:rsid w:val="00E84198"/>
    <w:rsid w:val="00EA19C3"/>
    <w:rsid w:val="00EB7E3B"/>
    <w:rsid w:val="00EC08B5"/>
    <w:rsid w:val="00F13D74"/>
    <w:rsid w:val="00F23D68"/>
    <w:rsid w:val="00F56EDF"/>
    <w:rsid w:val="00F7451B"/>
    <w:rsid w:val="00FA6328"/>
    <w:rsid w:val="00FD7FE6"/>
  </w:rsids>
  <m:mathPr>
    <m:mathFont m:val="Cambria Math"/>
    <m:brkBin m:val="before"/>
    <m:brkBinSub m:val="--"/>
    <m:smallFrac m:val="0"/>
    <m:dispDef/>
    <m:lMargin m:val="0"/>
    <m:rMargin m:val="0"/>
    <m:defJc m:val="centerGroup"/>
    <m:wrapIndent m:val="1440"/>
    <m:intLim m:val="subSup"/>
    <m:naryLim m:val="undOvr"/>
  </m:mathPr>
  <w:themeFontLang w:val="en-US" w:eastAsia="ko-KR"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0821"/>
  <w15:chartTrackingRefBased/>
  <w15:docId w15:val="{76429BDF-E90C-B044-A747-488C7837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3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20C53"/>
    <w:pPr>
      <w:keepNext/>
      <w:keepLines/>
      <w:spacing w:after="60" w:line="276" w:lineRule="auto"/>
    </w:pPr>
    <w:rPr>
      <w:rFonts w:eastAsia="Arial" w:cs="Arial"/>
      <w:sz w:val="52"/>
      <w:szCs w:val="52"/>
      <w:lang w:val="en"/>
    </w:rPr>
  </w:style>
  <w:style w:type="character" w:customStyle="1" w:styleId="Char">
    <w:name w:val="제목 Char"/>
    <w:basedOn w:val="a0"/>
    <w:link w:val="a3"/>
    <w:uiPriority w:val="10"/>
    <w:rsid w:val="00C20C53"/>
    <w:rPr>
      <w:rFonts w:eastAsia="Arial" w:cs="Arial"/>
      <w:sz w:val="52"/>
      <w:szCs w:val="52"/>
      <w:lang w:val="en"/>
    </w:rPr>
  </w:style>
  <w:style w:type="paragraph" w:styleId="a4">
    <w:name w:val="footer"/>
    <w:basedOn w:val="a"/>
    <w:link w:val="Char0"/>
    <w:uiPriority w:val="99"/>
    <w:unhideWhenUsed/>
    <w:rsid w:val="00C20C53"/>
    <w:pPr>
      <w:tabs>
        <w:tab w:val="center" w:pos="4680"/>
        <w:tab w:val="right" w:pos="9360"/>
      </w:tabs>
    </w:pPr>
  </w:style>
  <w:style w:type="character" w:customStyle="1" w:styleId="Char0">
    <w:name w:val="바닥글 Char"/>
    <w:basedOn w:val="a0"/>
    <w:link w:val="a4"/>
    <w:uiPriority w:val="99"/>
    <w:rsid w:val="00C20C53"/>
  </w:style>
  <w:style w:type="character" w:styleId="a5">
    <w:name w:val="page number"/>
    <w:basedOn w:val="a0"/>
    <w:uiPriority w:val="99"/>
    <w:semiHidden/>
    <w:unhideWhenUsed/>
    <w:rsid w:val="00C20C53"/>
  </w:style>
  <w:style w:type="character" w:styleId="a6">
    <w:name w:val="Placeholder Text"/>
    <w:basedOn w:val="a0"/>
    <w:uiPriority w:val="99"/>
    <w:semiHidden/>
    <w:rsid w:val="00E446F9"/>
    <w:rPr>
      <w:color w:val="808080"/>
    </w:rPr>
  </w:style>
  <w:style w:type="character" w:styleId="a7">
    <w:name w:val="annotation reference"/>
    <w:basedOn w:val="a0"/>
    <w:uiPriority w:val="99"/>
    <w:semiHidden/>
    <w:unhideWhenUsed/>
    <w:rsid w:val="00953083"/>
    <w:rPr>
      <w:sz w:val="16"/>
      <w:szCs w:val="16"/>
    </w:rPr>
  </w:style>
  <w:style w:type="paragraph" w:styleId="a8">
    <w:name w:val="annotation text"/>
    <w:basedOn w:val="a"/>
    <w:link w:val="Char1"/>
    <w:uiPriority w:val="99"/>
    <w:semiHidden/>
    <w:unhideWhenUsed/>
    <w:rsid w:val="00953083"/>
    <w:rPr>
      <w:sz w:val="20"/>
      <w:szCs w:val="20"/>
    </w:rPr>
  </w:style>
  <w:style w:type="character" w:customStyle="1" w:styleId="Char1">
    <w:name w:val="메모 텍스트 Char"/>
    <w:basedOn w:val="a0"/>
    <w:link w:val="a8"/>
    <w:uiPriority w:val="99"/>
    <w:semiHidden/>
    <w:rsid w:val="00953083"/>
    <w:rPr>
      <w:sz w:val="20"/>
      <w:szCs w:val="20"/>
    </w:rPr>
  </w:style>
  <w:style w:type="paragraph" w:styleId="a9">
    <w:name w:val="annotation subject"/>
    <w:basedOn w:val="a8"/>
    <w:next w:val="a8"/>
    <w:link w:val="Char2"/>
    <w:uiPriority w:val="99"/>
    <w:semiHidden/>
    <w:unhideWhenUsed/>
    <w:rsid w:val="00953083"/>
    <w:rPr>
      <w:b/>
      <w:bCs/>
    </w:rPr>
  </w:style>
  <w:style w:type="character" w:customStyle="1" w:styleId="Char2">
    <w:name w:val="메모 주제 Char"/>
    <w:basedOn w:val="Char1"/>
    <w:link w:val="a9"/>
    <w:uiPriority w:val="99"/>
    <w:semiHidden/>
    <w:rsid w:val="00953083"/>
    <w:rPr>
      <w:b/>
      <w:bCs/>
      <w:sz w:val="20"/>
      <w:szCs w:val="20"/>
    </w:rPr>
  </w:style>
  <w:style w:type="paragraph" w:styleId="aa">
    <w:name w:val="Bibliography"/>
    <w:basedOn w:val="a"/>
    <w:next w:val="a"/>
    <w:uiPriority w:val="37"/>
    <w:unhideWhenUsed/>
    <w:rsid w:val="00124715"/>
    <w:pPr>
      <w:tabs>
        <w:tab w:val="left" w:pos="260"/>
      </w:tabs>
      <w:spacing w:after="240"/>
      <w:ind w:left="264" w:hanging="264"/>
    </w:pPr>
  </w:style>
  <w:style w:type="paragraph" w:styleId="ab">
    <w:name w:val="Revision"/>
    <w:hidden/>
    <w:uiPriority w:val="99"/>
    <w:semiHidden/>
    <w:rsid w:val="009C144F"/>
  </w:style>
  <w:style w:type="paragraph" w:styleId="ac">
    <w:name w:val="Normal (Web)"/>
    <w:basedOn w:val="a"/>
    <w:uiPriority w:val="99"/>
    <w:semiHidden/>
    <w:unhideWhenUsed/>
    <w:rsid w:val="00040DE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49923">
      <w:bodyDiv w:val="1"/>
      <w:marLeft w:val="0"/>
      <w:marRight w:val="0"/>
      <w:marTop w:val="0"/>
      <w:marBottom w:val="0"/>
      <w:divBdr>
        <w:top w:val="none" w:sz="0" w:space="0" w:color="auto"/>
        <w:left w:val="none" w:sz="0" w:space="0" w:color="auto"/>
        <w:bottom w:val="none" w:sz="0" w:space="0" w:color="auto"/>
        <w:right w:val="none" w:sz="0" w:space="0" w:color="auto"/>
      </w:divBdr>
    </w:div>
    <w:div w:id="394278429">
      <w:bodyDiv w:val="1"/>
      <w:marLeft w:val="0"/>
      <w:marRight w:val="0"/>
      <w:marTop w:val="0"/>
      <w:marBottom w:val="0"/>
      <w:divBdr>
        <w:top w:val="none" w:sz="0" w:space="0" w:color="auto"/>
        <w:left w:val="none" w:sz="0" w:space="0" w:color="auto"/>
        <w:bottom w:val="none" w:sz="0" w:space="0" w:color="auto"/>
        <w:right w:val="none" w:sz="0" w:space="0" w:color="auto"/>
      </w:divBdr>
    </w:div>
    <w:div w:id="409277548">
      <w:bodyDiv w:val="1"/>
      <w:marLeft w:val="0"/>
      <w:marRight w:val="0"/>
      <w:marTop w:val="0"/>
      <w:marBottom w:val="0"/>
      <w:divBdr>
        <w:top w:val="none" w:sz="0" w:space="0" w:color="auto"/>
        <w:left w:val="none" w:sz="0" w:space="0" w:color="auto"/>
        <w:bottom w:val="none" w:sz="0" w:space="0" w:color="auto"/>
        <w:right w:val="none" w:sz="0" w:space="0" w:color="auto"/>
      </w:divBdr>
    </w:div>
    <w:div w:id="586578937">
      <w:bodyDiv w:val="1"/>
      <w:marLeft w:val="0"/>
      <w:marRight w:val="0"/>
      <w:marTop w:val="0"/>
      <w:marBottom w:val="0"/>
      <w:divBdr>
        <w:top w:val="none" w:sz="0" w:space="0" w:color="auto"/>
        <w:left w:val="none" w:sz="0" w:space="0" w:color="auto"/>
        <w:bottom w:val="none" w:sz="0" w:space="0" w:color="auto"/>
        <w:right w:val="none" w:sz="0" w:space="0" w:color="auto"/>
      </w:divBdr>
    </w:div>
    <w:div w:id="912736264">
      <w:bodyDiv w:val="1"/>
      <w:marLeft w:val="0"/>
      <w:marRight w:val="0"/>
      <w:marTop w:val="0"/>
      <w:marBottom w:val="0"/>
      <w:divBdr>
        <w:top w:val="none" w:sz="0" w:space="0" w:color="auto"/>
        <w:left w:val="none" w:sz="0" w:space="0" w:color="auto"/>
        <w:bottom w:val="none" w:sz="0" w:space="0" w:color="auto"/>
        <w:right w:val="none" w:sz="0" w:space="0" w:color="auto"/>
      </w:divBdr>
      <w:divsChild>
        <w:div w:id="1435975008">
          <w:marLeft w:val="0"/>
          <w:marRight w:val="0"/>
          <w:marTop w:val="0"/>
          <w:marBottom w:val="0"/>
          <w:divBdr>
            <w:top w:val="none" w:sz="0" w:space="0" w:color="auto"/>
            <w:left w:val="none" w:sz="0" w:space="0" w:color="auto"/>
            <w:bottom w:val="none" w:sz="0" w:space="0" w:color="auto"/>
            <w:right w:val="none" w:sz="0" w:space="0" w:color="auto"/>
          </w:divBdr>
          <w:divsChild>
            <w:div w:id="17013156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90751446">
      <w:bodyDiv w:val="1"/>
      <w:marLeft w:val="0"/>
      <w:marRight w:val="0"/>
      <w:marTop w:val="0"/>
      <w:marBottom w:val="0"/>
      <w:divBdr>
        <w:top w:val="none" w:sz="0" w:space="0" w:color="auto"/>
        <w:left w:val="none" w:sz="0" w:space="0" w:color="auto"/>
        <w:bottom w:val="none" w:sz="0" w:space="0" w:color="auto"/>
        <w:right w:val="none" w:sz="0" w:space="0" w:color="auto"/>
      </w:divBdr>
    </w:div>
    <w:div w:id="1914001492">
      <w:bodyDiv w:val="1"/>
      <w:marLeft w:val="0"/>
      <w:marRight w:val="0"/>
      <w:marTop w:val="0"/>
      <w:marBottom w:val="0"/>
      <w:divBdr>
        <w:top w:val="none" w:sz="0" w:space="0" w:color="auto"/>
        <w:left w:val="none" w:sz="0" w:space="0" w:color="auto"/>
        <w:bottom w:val="none" w:sz="0" w:space="0" w:color="auto"/>
        <w:right w:val="none" w:sz="0" w:space="0" w:color="auto"/>
      </w:divBdr>
    </w:div>
    <w:div w:id="2118871444">
      <w:bodyDiv w:val="1"/>
      <w:marLeft w:val="0"/>
      <w:marRight w:val="0"/>
      <w:marTop w:val="0"/>
      <w:marBottom w:val="0"/>
      <w:divBdr>
        <w:top w:val="none" w:sz="0" w:space="0" w:color="auto"/>
        <w:left w:val="none" w:sz="0" w:space="0" w:color="auto"/>
        <w:bottom w:val="none" w:sz="0" w:space="0" w:color="auto"/>
        <w:right w:val="none" w:sz="0" w:space="0" w:color="auto"/>
      </w:divBdr>
      <w:divsChild>
        <w:div w:id="942692638">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444D4-0A98-854E-A980-969D5E27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1737</Words>
  <Characters>9903</Characters>
  <Application>Microsoft Office Word</Application>
  <DocSecurity>0</DocSecurity>
  <Lines>82</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Maxwell</dc:creator>
  <cp:keywords/>
  <dc:description/>
  <cp:lastModifiedBy>이제인</cp:lastModifiedBy>
  <cp:revision>3</cp:revision>
  <dcterms:created xsi:type="dcterms:W3CDTF">2023-12-15T05:17:00Z</dcterms:created>
  <dcterms:modified xsi:type="dcterms:W3CDTF">2023-12-15T05:18:00Z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id="xzwsLsvc"/&gt;&lt;style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