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90" w:rsidRDefault="006D2890">
      <w:pPr>
        <w:widowControl/>
        <w:wordWrap/>
        <w:autoSpaceDE/>
        <w:autoSpaceDN/>
      </w:pPr>
      <w:bookmarkStart w:id="0" w:name="_GoBack"/>
      <w:bookmarkEnd w:id="0"/>
    </w:p>
    <w:tbl>
      <w:tblPr>
        <w:tblW w:w="10376" w:type="dxa"/>
        <w:tblCellMar>
          <w:left w:w="99" w:type="dxa"/>
          <w:right w:w="99" w:type="dxa"/>
        </w:tblCellMar>
        <w:tblLook w:val="04A0" w:firstRow="1" w:lastRow="0" w:firstColumn="1" w:lastColumn="0" w:noHBand="0" w:noVBand="1"/>
      </w:tblPr>
      <w:tblGrid>
        <w:gridCol w:w="1293"/>
        <w:gridCol w:w="987"/>
        <w:gridCol w:w="876"/>
        <w:gridCol w:w="854"/>
        <w:gridCol w:w="1254"/>
        <w:gridCol w:w="1540"/>
        <w:gridCol w:w="1653"/>
        <w:gridCol w:w="1919"/>
      </w:tblGrid>
      <w:tr w:rsidR="006D2890" w:rsidRPr="006D2890" w:rsidTr="006D2890">
        <w:trPr>
          <w:trHeight w:val="683"/>
        </w:trPr>
        <w:tc>
          <w:tcPr>
            <w:tcW w:w="10376" w:type="dxa"/>
            <w:gridSpan w:val="8"/>
            <w:tcBorders>
              <w:top w:val="nil"/>
              <w:left w:val="nil"/>
              <w:bottom w:val="single" w:sz="8" w:space="0" w:color="auto"/>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 xml:space="preserve">Supplementary </w:t>
            </w:r>
            <w:r w:rsidR="00EF06D0">
              <w:rPr>
                <w:rFonts w:ascii="Times New Roman" w:eastAsia="맑은 고딕" w:hAnsi="Times New Roman" w:cs="Times New Roman"/>
                <w:color w:val="000000"/>
                <w:kern w:val="0"/>
                <w:szCs w:val="20"/>
              </w:rPr>
              <w:t>Material 4</w:t>
            </w:r>
            <w:r w:rsidRPr="006D2890">
              <w:rPr>
                <w:rFonts w:ascii="Times New Roman" w:eastAsia="맑은 고딕" w:hAnsi="Times New Roman" w:cs="Times New Roman"/>
                <w:color w:val="000000"/>
                <w:kern w:val="0"/>
                <w:szCs w:val="20"/>
              </w:rPr>
              <w:t>.</w:t>
            </w:r>
            <w:r w:rsidRPr="006D2890">
              <w:rPr>
                <w:rFonts w:ascii="Times New Roman" w:eastAsia="맑은 고딕" w:hAnsi="Times New Roman" w:cs="Times New Roman"/>
                <w:b/>
                <w:bCs/>
                <w:color w:val="000000"/>
                <w:kern w:val="0"/>
                <w:szCs w:val="20"/>
              </w:rPr>
              <w:t xml:space="preserve"> </w:t>
            </w:r>
            <w:r w:rsidRPr="006D2890">
              <w:rPr>
                <w:rFonts w:ascii="Times New Roman" w:eastAsia="맑은 고딕" w:hAnsi="Times New Roman" w:cs="Times New Roman"/>
                <w:color w:val="000000"/>
                <w:kern w:val="0"/>
                <w:szCs w:val="20"/>
              </w:rPr>
              <w:t>Longitudinal association between age at first childbirth at the baseline visit and incidence of hypertriglyceridemia at a follow-up visit among participants who underwent at least three follow-up examinations</w:t>
            </w:r>
          </w:p>
        </w:tc>
      </w:tr>
      <w:tr w:rsidR="006D2890" w:rsidRPr="006D2890" w:rsidTr="006D2890">
        <w:trPr>
          <w:trHeight w:val="386"/>
        </w:trPr>
        <w:tc>
          <w:tcPr>
            <w:tcW w:w="1302" w:type="dxa"/>
            <w:vMerge w:val="restart"/>
            <w:tcBorders>
              <w:top w:val="nil"/>
              <w:left w:val="nil"/>
              <w:bottom w:val="single" w:sz="8" w:space="0" w:color="000000"/>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 xml:space="preserve">Age at first childbirth </w:t>
            </w:r>
          </w:p>
        </w:tc>
        <w:tc>
          <w:tcPr>
            <w:tcW w:w="868" w:type="dxa"/>
            <w:vMerge w:val="restart"/>
            <w:tcBorders>
              <w:top w:val="nil"/>
              <w:left w:val="nil"/>
              <w:bottom w:val="single" w:sz="8" w:space="0" w:color="000000"/>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Numbers at risk</w:t>
            </w:r>
          </w:p>
        </w:tc>
        <w:tc>
          <w:tcPr>
            <w:tcW w:w="822" w:type="dxa"/>
            <w:vMerge w:val="restart"/>
            <w:tcBorders>
              <w:top w:val="nil"/>
              <w:left w:val="nil"/>
              <w:bottom w:val="single" w:sz="8" w:space="0" w:color="000000"/>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Events*</w:t>
            </w:r>
          </w:p>
        </w:tc>
        <w:tc>
          <w:tcPr>
            <w:tcW w:w="822" w:type="dxa"/>
            <w:vMerge w:val="restart"/>
            <w:tcBorders>
              <w:top w:val="nil"/>
              <w:left w:val="nil"/>
              <w:bottom w:val="single" w:sz="8" w:space="0" w:color="000000"/>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Person-years</w:t>
            </w:r>
          </w:p>
        </w:tc>
        <w:tc>
          <w:tcPr>
            <w:tcW w:w="1271" w:type="dxa"/>
            <w:tcBorders>
              <w:top w:val="nil"/>
              <w:left w:val="nil"/>
              <w:bottom w:val="nil"/>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Incidence rate</w:t>
            </w:r>
          </w:p>
        </w:tc>
        <w:tc>
          <w:tcPr>
            <w:tcW w:w="5289" w:type="dxa"/>
            <w:gridSpan w:val="3"/>
            <w:tcBorders>
              <w:top w:val="single" w:sz="8" w:space="0" w:color="auto"/>
              <w:left w:val="nil"/>
              <w:bottom w:val="single" w:sz="8" w:space="0" w:color="auto"/>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Hazard ratio (95% CI) for hypertriglyceridemia</w:t>
            </w:r>
          </w:p>
        </w:tc>
      </w:tr>
      <w:tr w:rsidR="006D2890" w:rsidRPr="006D2890" w:rsidTr="006D2890">
        <w:trPr>
          <w:trHeight w:val="386"/>
        </w:trPr>
        <w:tc>
          <w:tcPr>
            <w:tcW w:w="1302" w:type="dxa"/>
            <w:vMerge/>
            <w:tcBorders>
              <w:top w:val="nil"/>
              <w:left w:val="nil"/>
              <w:bottom w:val="single" w:sz="8" w:space="0" w:color="000000"/>
              <w:right w:val="nil"/>
            </w:tcBorders>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868" w:type="dxa"/>
            <w:vMerge/>
            <w:tcBorders>
              <w:top w:val="nil"/>
              <w:left w:val="nil"/>
              <w:bottom w:val="single" w:sz="8" w:space="0" w:color="000000"/>
              <w:right w:val="nil"/>
            </w:tcBorders>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822" w:type="dxa"/>
            <w:vMerge/>
            <w:tcBorders>
              <w:top w:val="nil"/>
              <w:left w:val="nil"/>
              <w:bottom w:val="single" w:sz="8" w:space="0" w:color="000000"/>
              <w:right w:val="nil"/>
            </w:tcBorders>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822" w:type="dxa"/>
            <w:vMerge/>
            <w:tcBorders>
              <w:top w:val="nil"/>
              <w:left w:val="nil"/>
              <w:bottom w:val="single" w:sz="8" w:space="0" w:color="000000"/>
              <w:right w:val="nil"/>
            </w:tcBorders>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1271" w:type="dxa"/>
            <w:tcBorders>
              <w:top w:val="nil"/>
              <w:left w:val="nil"/>
              <w:bottom w:val="single" w:sz="8" w:space="0" w:color="auto"/>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(/100pys)</w:t>
            </w:r>
          </w:p>
        </w:tc>
        <w:tc>
          <w:tcPr>
            <w:tcW w:w="1566" w:type="dxa"/>
            <w:tcBorders>
              <w:top w:val="nil"/>
              <w:left w:val="nil"/>
              <w:bottom w:val="single" w:sz="8" w:space="0" w:color="auto"/>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Unadjusted</w:t>
            </w:r>
          </w:p>
        </w:tc>
        <w:tc>
          <w:tcPr>
            <w:tcW w:w="1721" w:type="dxa"/>
            <w:tcBorders>
              <w:top w:val="nil"/>
              <w:left w:val="nil"/>
              <w:bottom w:val="single" w:sz="8" w:space="0" w:color="auto"/>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Model 1</w:t>
            </w:r>
          </w:p>
        </w:tc>
        <w:tc>
          <w:tcPr>
            <w:tcW w:w="2000" w:type="dxa"/>
            <w:tcBorders>
              <w:top w:val="nil"/>
              <w:left w:val="nil"/>
              <w:bottom w:val="single" w:sz="8" w:space="0" w:color="auto"/>
              <w:right w:val="nil"/>
            </w:tcBorders>
            <w:shd w:val="clear" w:color="000000" w:fill="D9D9D9"/>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Model 2</w:t>
            </w: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Total women</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r w:rsidRPr="006D2890">
              <w:rPr>
                <w:rFonts w:ascii="Times New Roman" w:eastAsia="맑은 고딕" w:hAnsi="Times New Roman" w:cs="Times New Roman"/>
                <w:b/>
                <w:bCs/>
                <w:color w:val="000000"/>
                <w:kern w:val="0"/>
                <w:szCs w:val="20"/>
              </w:rPr>
              <w:t xml:space="preserve">　</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b/>
                <w:bCs/>
                <w:color w:val="000000"/>
                <w:kern w:val="0"/>
                <w:szCs w:val="20"/>
              </w:rPr>
            </w:pP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Times New Roman" w:hAnsi="Times New Roman" w:cs="Times New Roman"/>
                <w:kern w:val="0"/>
                <w:szCs w:val="20"/>
              </w:rPr>
            </w:pP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Times New Roman" w:hAnsi="Times New Roman" w:cs="Times New Roman"/>
                <w:kern w:val="0"/>
                <w:szCs w:val="20"/>
              </w:rPr>
            </w:pPr>
          </w:p>
        </w:tc>
      </w:tr>
      <w:tr w:rsidR="006D2890" w:rsidRPr="006D2890" w:rsidTr="006D2890">
        <w:trPr>
          <w:trHeight w:val="567"/>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Continuous, per 1 year early</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1552</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575</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10991.5</w:t>
            </w: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5.2</w:t>
            </w: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1.03 (1.00-1.05)</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1.02 (0.99-1.05)</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1.042 (1.003-1.081)</w:t>
            </w: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Category</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Times New Roman" w:hAnsi="Times New Roman" w:cs="Times New Roman"/>
                <w:kern w:val="0"/>
                <w:szCs w:val="20"/>
              </w:rPr>
            </w:pP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Times New Roman" w:hAnsi="Times New Roman" w:cs="Times New Roman"/>
                <w:kern w:val="0"/>
                <w:szCs w:val="20"/>
              </w:rPr>
            </w:pP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ind w:firstLineChars="100" w:firstLine="200"/>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&lt;20</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91</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43</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628.9</w:t>
            </w: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6.8</w:t>
            </w: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1.41 (1.01-1.96)</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1.27 (0.89-1.81)</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1.69 (1.11-2.58)</w:t>
            </w: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ind w:firstLineChars="100" w:firstLine="200"/>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20-24</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809</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315</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5812.7</w:t>
            </w: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5.4</w:t>
            </w: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1.14 (0.95-1.36)</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1.08 (0.89-1.32)</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1.35 (1.05-1.74)</w:t>
            </w: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ind w:firstLineChars="100" w:firstLine="200"/>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25-29</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544</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187</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3977.5</w:t>
            </w: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4.7</w:t>
            </w: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1.00 (ref)</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1.00 (ref)</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1.00 (ref)</w:t>
            </w:r>
          </w:p>
        </w:tc>
      </w:tr>
      <w:tr w:rsidR="006D2890" w:rsidRPr="006D2890" w:rsidTr="006D2890">
        <w:trPr>
          <w:trHeight w:val="374"/>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ind w:firstLineChars="100" w:firstLine="200"/>
              <w:jc w:val="left"/>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≥30</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78</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30</w:t>
            </w: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572.4</w:t>
            </w: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5.2</w:t>
            </w: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1.09 (0.74-1.60)</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1.04 (0.71-1.54)</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0.92 (0.541-1.57)</w:t>
            </w:r>
          </w:p>
        </w:tc>
      </w:tr>
      <w:tr w:rsidR="006D2890" w:rsidRPr="006D2890" w:rsidTr="006D2890">
        <w:trPr>
          <w:trHeight w:val="386"/>
        </w:trPr>
        <w:tc>
          <w:tcPr>
            <w:tcW w:w="130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i/>
                <w:iCs/>
                <w:color w:val="000000"/>
                <w:kern w:val="0"/>
                <w:szCs w:val="20"/>
              </w:rPr>
            </w:pPr>
            <w:r w:rsidRPr="006D2890">
              <w:rPr>
                <w:rFonts w:ascii="Times New Roman" w:eastAsia="맑은 고딕" w:hAnsi="Times New Roman" w:cs="Times New Roman"/>
                <w:i/>
                <w:iCs/>
                <w:color w:val="000000"/>
                <w:kern w:val="0"/>
                <w:szCs w:val="20"/>
              </w:rPr>
              <w:t xml:space="preserve">p </w:t>
            </w:r>
            <w:r w:rsidRPr="006D2890">
              <w:rPr>
                <w:rFonts w:ascii="Times New Roman" w:eastAsia="맑은 고딕" w:hAnsi="Times New Roman" w:cs="Times New Roman"/>
                <w:color w:val="000000"/>
                <w:kern w:val="0"/>
                <w:szCs w:val="20"/>
              </w:rPr>
              <w:t>for trend</w:t>
            </w:r>
          </w:p>
        </w:tc>
        <w:tc>
          <w:tcPr>
            <w:tcW w:w="868"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left"/>
              <w:rPr>
                <w:rFonts w:ascii="Times New Roman" w:eastAsia="맑은 고딕" w:hAnsi="Times New Roman" w:cs="Times New Roman"/>
                <w:i/>
                <w:iCs/>
                <w:color w:val="000000"/>
                <w:kern w:val="0"/>
                <w:szCs w:val="20"/>
              </w:rPr>
            </w:pP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822"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27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Times New Roman" w:hAnsi="Times New Roman" w:cs="Times New Roman"/>
                <w:kern w:val="0"/>
                <w:szCs w:val="20"/>
              </w:rPr>
            </w:pPr>
          </w:p>
        </w:tc>
        <w:tc>
          <w:tcPr>
            <w:tcW w:w="1566"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0.075</w:t>
            </w:r>
          </w:p>
        </w:tc>
        <w:tc>
          <w:tcPr>
            <w:tcW w:w="1721"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0.2855</w:t>
            </w:r>
          </w:p>
        </w:tc>
        <w:tc>
          <w:tcPr>
            <w:tcW w:w="2000" w:type="dxa"/>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jc w:val="center"/>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0.005</w:t>
            </w:r>
          </w:p>
        </w:tc>
      </w:tr>
      <w:tr w:rsidR="006D2890" w:rsidRPr="006D2890" w:rsidTr="006D2890">
        <w:trPr>
          <w:trHeight w:val="374"/>
        </w:trPr>
        <w:tc>
          <w:tcPr>
            <w:tcW w:w="10376" w:type="dxa"/>
            <w:gridSpan w:val="8"/>
            <w:tcBorders>
              <w:top w:val="single" w:sz="8" w:space="0" w:color="auto"/>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CI, confidence interval</w:t>
            </w:r>
          </w:p>
        </w:tc>
      </w:tr>
      <w:tr w:rsidR="006D2890" w:rsidRPr="006D2890" w:rsidTr="006D2890">
        <w:trPr>
          <w:trHeight w:val="374"/>
        </w:trPr>
        <w:tc>
          <w:tcPr>
            <w:tcW w:w="10376" w:type="dxa"/>
            <w:gridSpan w:val="8"/>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*Hypertriglyceridemia events</w:t>
            </w:r>
          </w:p>
        </w:tc>
      </w:tr>
      <w:tr w:rsidR="006D2890" w:rsidRPr="006D2890" w:rsidTr="006D2890">
        <w:trPr>
          <w:trHeight w:val="374"/>
        </w:trPr>
        <w:tc>
          <w:tcPr>
            <w:tcW w:w="10376" w:type="dxa"/>
            <w:gridSpan w:val="8"/>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Model 2: adjusted for age, study site, body mass index, menopausal status (only for total), blood pressure, diabetes, alcohol consumption, carbohydrate intake, income, marital status, and education.</w:t>
            </w:r>
          </w:p>
        </w:tc>
      </w:tr>
      <w:tr w:rsidR="006D2890" w:rsidRPr="006D2890" w:rsidTr="006D2890">
        <w:trPr>
          <w:trHeight w:val="374"/>
        </w:trPr>
        <w:tc>
          <w:tcPr>
            <w:tcW w:w="10376" w:type="dxa"/>
            <w:gridSpan w:val="8"/>
            <w:tcBorders>
              <w:top w:val="nil"/>
              <w:left w:val="nil"/>
              <w:bottom w:val="nil"/>
              <w:right w:val="nil"/>
            </w:tcBorders>
            <w:shd w:val="clear" w:color="auto" w:fill="auto"/>
            <w:vAlign w:val="center"/>
            <w:hideMark/>
          </w:tcPr>
          <w:p w:rsidR="006D2890" w:rsidRPr="006D2890" w:rsidRDefault="006D2890" w:rsidP="006D2890">
            <w:pPr>
              <w:widowControl/>
              <w:wordWrap/>
              <w:autoSpaceDE/>
              <w:autoSpaceDN/>
              <w:spacing w:after="0" w:line="240" w:lineRule="auto"/>
              <w:rPr>
                <w:rFonts w:ascii="Times New Roman" w:eastAsia="맑은 고딕" w:hAnsi="Times New Roman" w:cs="Times New Roman"/>
                <w:color w:val="000000"/>
                <w:kern w:val="0"/>
                <w:szCs w:val="20"/>
              </w:rPr>
            </w:pPr>
            <w:r w:rsidRPr="006D2890">
              <w:rPr>
                <w:rFonts w:ascii="Times New Roman" w:eastAsia="맑은 고딕" w:hAnsi="Times New Roman" w:cs="Times New Roman"/>
                <w:color w:val="000000"/>
                <w:kern w:val="0"/>
                <w:szCs w:val="20"/>
              </w:rPr>
              <w:t>Model 2: adjusted for age, study site, body mass index, menopausal status (only for total), blood pressure, diabetes, alcohol consumption, carbohydrate intake, income, marital status, education, parity, usage of oral contraceptives, and hormone replacement status</w:t>
            </w:r>
          </w:p>
        </w:tc>
      </w:tr>
    </w:tbl>
    <w:p w:rsidR="008F77A0" w:rsidRPr="006D2890" w:rsidRDefault="002B7D06"/>
    <w:p w:rsidR="006D2890" w:rsidRDefault="006D2890"/>
    <w:p w:rsidR="006D2890" w:rsidRPr="006D2890" w:rsidRDefault="006D2890"/>
    <w:sectPr w:rsidR="006D2890" w:rsidRPr="006D2890" w:rsidSect="005E718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06" w:rsidRDefault="002B7D06" w:rsidP="006D2890">
      <w:pPr>
        <w:spacing w:after="0" w:line="240" w:lineRule="auto"/>
      </w:pPr>
      <w:r>
        <w:separator/>
      </w:r>
    </w:p>
  </w:endnote>
  <w:endnote w:type="continuationSeparator" w:id="0">
    <w:p w:rsidR="002B7D06" w:rsidRDefault="002B7D06" w:rsidP="006D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06" w:rsidRDefault="002B7D06" w:rsidP="006D2890">
      <w:pPr>
        <w:spacing w:after="0" w:line="240" w:lineRule="auto"/>
      </w:pPr>
      <w:r>
        <w:separator/>
      </w:r>
    </w:p>
  </w:footnote>
  <w:footnote w:type="continuationSeparator" w:id="0">
    <w:p w:rsidR="002B7D06" w:rsidRDefault="002B7D06" w:rsidP="006D2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81"/>
    <w:rsid w:val="002B7D06"/>
    <w:rsid w:val="00386753"/>
    <w:rsid w:val="00437F28"/>
    <w:rsid w:val="005E7181"/>
    <w:rsid w:val="006D2890"/>
    <w:rsid w:val="00B96878"/>
    <w:rsid w:val="00C07A7C"/>
    <w:rsid w:val="00E0000C"/>
    <w:rsid w:val="00EF0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0339A-922C-498E-BF9A-D5DE8CA0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8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D2890"/>
    <w:pPr>
      <w:tabs>
        <w:tab w:val="center" w:pos="4513"/>
        <w:tab w:val="right" w:pos="9026"/>
      </w:tabs>
      <w:snapToGrid w:val="0"/>
    </w:pPr>
  </w:style>
  <w:style w:type="character" w:customStyle="1" w:styleId="Char">
    <w:name w:val="머리글 Char"/>
    <w:basedOn w:val="a0"/>
    <w:link w:val="a4"/>
    <w:uiPriority w:val="99"/>
    <w:rsid w:val="006D2890"/>
  </w:style>
  <w:style w:type="paragraph" w:styleId="a5">
    <w:name w:val="footer"/>
    <w:basedOn w:val="a"/>
    <w:link w:val="Char0"/>
    <w:uiPriority w:val="99"/>
    <w:unhideWhenUsed/>
    <w:rsid w:val="006D2890"/>
    <w:pPr>
      <w:tabs>
        <w:tab w:val="center" w:pos="4513"/>
        <w:tab w:val="right" w:pos="9026"/>
      </w:tabs>
      <w:snapToGrid w:val="0"/>
    </w:pPr>
  </w:style>
  <w:style w:type="character" w:customStyle="1" w:styleId="Char0">
    <w:name w:val="바닥글 Char"/>
    <w:basedOn w:val="a0"/>
    <w:link w:val="a5"/>
    <w:uiPriority w:val="99"/>
    <w:rsid w:val="006D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5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코호트센터</dc:creator>
  <cp:keywords/>
  <dc:description/>
  <cp:lastModifiedBy>AppPower</cp:lastModifiedBy>
  <cp:revision>2</cp:revision>
  <dcterms:created xsi:type="dcterms:W3CDTF">2023-03-31T03:55:00Z</dcterms:created>
  <dcterms:modified xsi:type="dcterms:W3CDTF">2023-03-31T03:55:00Z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C:\Users\cohort1\Dropbox\(강북삼성병원)\(논문)\(박사)학위논문\epih\revision\Supplementary Tables_rev.docx</vt:lpwstr>
  </property>
</Properties>
</file>