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81" w:rsidRDefault="005E7181">
      <w:pPr>
        <w:widowControl/>
        <w:wordWrap/>
        <w:autoSpaceDE/>
        <w:autoSpaceDN/>
      </w:pPr>
      <w:bookmarkStart w:id="0" w:name="_GoBack"/>
      <w:bookmarkEnd w:id="0"/>
    </w:p>
    <w:tbl>
      <w:tblPr>
        <w:tblpPr w:leftFromText="142" w:rightFromText="142" w:vertAnchor="text" w:horzAnchor="margin" w:tblpY="1341"/>
        <w:tblOverlap w:val="never"/>
        <w:tblW w:w="10731" w:type="dxa"/>
        <w:tblCellMar>
          <w:left w:w="99" w:type="dxa"/>
          <w:right w:w="99" w:type="dxa"/>
        </w:tblCellMar>
        <w:tblLook w:val="04A0" w:firstRow="1" w:lastRow="0" w:firstColumn="1" w:lastColumn="0" w:noHBand="0" w:noVBand="1"/>
      </w:tblPr>
      <w:tblGrid>
        <w:gridCol w:w="1533"/>
        <w:gridCol w:w="1533"/>
        <w:gridCol w:w="1533"/>
        <w:gridCol w:w="1533"/>
        <w:gridCol w:w="1533"/>
        <w:gridCol w:w="1533"/>
        <w:gridCol w:w="1533"/>
      </w:tblGrid>
      <w:tr w:rsidR="005E7181" w:rsidRPr="001C6D7B" w:rsidTr="007E205E">
        <w:trPr>
          <w:trHeight w:val="873"/>
        </w:trPr>
        <w:tc>
          <w:tcPr>
            <w:tcW w:w="10731" w:type="dxa"/>
            <w:gridSpan w:val="7"/>
            <w:tcBorders>
              <w:top w:val="nil"/>
              <w:left w:val="nil"/>
              <w:bottom w:val="single" w:sz="8" w:space="0" w:color="auto"/>
              <w:right w:val="nil"/>
            </w:tcBorders>
            <w:shd w:val="clear" w:color="000000" w:fill="FFFFFF"/>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bookmarkStart w:id="1" w:name="RANGE!B2"/>
            <w:r w:rsidRPr="004F594A">
              <w:rPr>
                <w:rFonts w:ascii="Times New Roman" w:eastAsia="맑은 고딕" w:hAnsi="Times New Roman" w:cs="Times New Roman"/>
                <w:color w:val="000000"/>
                <w:kern w:val="0"/>
                <w:szCs w:val="20"/>
              </w:rPr>
              <w:t xml:space="preserve">Supplementary </w:t>
            </w:r>
            <w:r w:rsidR="00EF06D0">
              <w:rPr>
                <w:rFonts w:ascii="Times New Roman" w:eastAsia="맑은 고딕" w:hAnsi="Times New Roman" w:cs="Times New Roman"/>
                <w:color w:val="000000"/>
                <w:kern w:val="0"/>
                <w:szCs w:val="20"/>
              </w:rPr>
              <w:t>Material 2</w:t>
            </w:r>
            <w:r w:rsidRPr="004F594A">
              <w:rPr>
                <w:rFonts w:ascii="Times New Roman" w:eastAsia="맑은 고딕" w:hAnsi="Times New Roman" w:cs="Times New Roman"/>
                <w:color w:val="000000"/>
                <w:kern w:val="0"/>
                <w:szCs w:val="20"/>
              </w:rPr>
              <w:t>. Cross-sectional association of age at first childbirth with prevalence of hypertriglyceridemia at baseline in total and postmenopausal women who had never used lipid-lowering medications</w:t>
            </w:r>
            <w:bookmarkEnd w:id="1"/>
          </w:p>
        </w:tc>
      </w:tr>
      <w:tr w:rsidR="005E7181" w:rsidRPr="001C6D7B" w:rsidTr="007E205E">
        <w:trPr>
          <w:trHeight w:val="344"/>
        </w:trPr>
        <w:tc>
          <w:tcPr>
            <w:tcW w:w="1533" w:type="dxa"/>
            <w:vMerge w:val="restart"/>
            <w:tcBorders>
              <w:top w:val="nil"/>
              <w:left w:val="nil"/>
              <w:bottom w:val="single" w:sz="8" w:space="0" w:color="000000"/>
              <w:right w:val="nil"/>
            </w:tcBorders>
            <w:shd w:val="clear" w:color="000000" w:fill="D9D9D9"/>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Age at first childbirth</w:t>
            </w:r>
          </w:p>
        </w:tc>
        <w:tc>
          <w:tcPr>
            <w:tcW w:w="1533" w:type="dxa"/>
            <w:vMerge w:val="restart"/>
            <w:tcBorders>
              <w:top w:val="nil"/>
              <w:left w:val="nil"/>
              <w:bottom w:val="single" w:sz="8" w:space="0" w:color="000000"/>
              <w:right w:val="nil"/>
            </w:tcBorders>
            <w:shd w:val="clear" w:color="000000" w:fill="D9D9D9"/>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No. of women</w:t>
            </w:r>
          </w:p>
        </w:tc>
        <w:tc>
          <w:tcPr>
            <w:tcW w:w="1533" w:type="dxa"/>
            <w:tcBorders>
              <w:top w:val="nil"/>
              <w:left w:val="nil"/>
              <w:bottom w:val="nil"/>
              <w:right w:val="nil"/>
            </w:tcBorders>
            <w:shd w:val="clear" w:color="000000" w:fill="D9D9D9"/>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 xml:space="preserve">No (%) </w:t>
            </w:r>
          </w:p>
        </w:tc>
        <w:tc>
          <w:tcPr>
            <w:tcW w:w="6132" w:type="dxa"/>
            <w:gridSpan w:val="4"/>
            <w:tcBorders>
              <w:top w:val="single" w:sz="8" w:space="0" w:color="auto"/>
              <w:left w:val="nil"/>
              <w:bottom w:val="single" w:sz="8" w:space="0" w:color="auto"/>
              <w:right w:val="nil"/>
            </w:tcBorders>
            <w:shd w:val="clear" w:color="000000" w:fill="D9D9D9"/>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Odds ratio (95% CI) for Hypertriglyceridemia</w:t>
            </w:r>
          </w:p>
        </w:tc>
      </w:tr>
      <w:tr w:rsidR="005E7181" w:rsidRPr="001C6D7B" w:rsidTr="007E205E">
        <w:trPr>
          <w:trHeight w:val="344"/>
        </w:trPr>
        <w:tc>
          <w:tcPr>
            <w:tcW w:w="1533" w:type="dxa"/>
            <w:vMerge/>
            <w:tcBorders>
              <w:top w:val="nil"/>
              <w:left w:val="nil"/>
              <w:bottom w:val="single" w:sz="8" w:space="0" w:color="000000"/>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bCs/>
                <w:color w:val="000000"/>
                <w:kern w:val="0"/>
                <w:szCs w:val="20"/>
              </w:rPr>
            </w:pPr>
          </w:p>
        </w:tc>
        <w:tc>
          <w:tcPr>
            <w:tcW w:w="1533" w:type="dxa"/>
            <w:vMerge/>
            <w:tcBorders>
              <w:top w:val="nil"/>
              <w:left w:val="nil"/>
              <w:bottom w:val="single" w:sz="8" w:space="0" w:color="000000"/>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bCs/>
                <w:color w:val="000000"/>
                <w:kern w:val="0"/>
                <w:szCs w:val="20"/>
              </w:rPr>
            </w:pPr>
          </w:p>
        </w:tc>
        <w:tc>
          <w:tcPr>
            <w:tcW w:w="1533" w:type="dxa"/>
            <w:tcBorders>
              <w:top w:val="nil"/>
              <w:left w:val="nil"/>
              <w:bottom w:val="single" w:sz="8" w:space="0" w:color="auto"/>
              <w:right w:val="nil"/>
            </w:tcBorders>
            <w:shd w:val="clear" w:color="000000" w:fill="D9D9D9"/>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of cases*</w:t>
            </w:r>
          </w:p>
        </w:tc>
        <w:tc>
          <w:tcPr>
            <w:tcW w:w="1533" w:type="dxa"/>
            <w:tcBorders>
              <w:top w:val="nil"/>
              <w:left w:val="nil"/>
              <w:bottom w:val="single" w:sz="8" w:space="0" w:color="auto"/>
              <w:right w:val="nil"/>
            </w:tcBorders>
            <w:shd w:val="clear" w:color="000000" w:fill="D9D9D9"/>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Unadjusted</w:t>
            </w:r>
          </w:p>
        </w:tc>
        <w:tc>
          <w:tcPr>
            <w:tcW w:w="1533" w:type="dxa"/>
            <w:tcBorders>
              <w:top w:val="nil"/>
              <w:left w:val="nil"/>
              <w:bottom w:val="single" w:sz="8" w:space="0" w:color="auto"/>
              <w:right w:val="nil"/>
            </w:tcBorders>
            <w:shd w:val="clear" w:color="000000" w:fill="D9D9D9"/>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Model 1</w:t>
            </w:r>
          </w:p>
        </w:tc>
        <w:tc>
          <w:tcPr>
            <w:tcW w:w="1533" w:type="dxa"/>
            <w:tcBorders>
              <w:top w:val="nil"/>
              <w:left w:val="nil"/>
              <w:bottom w:val="single" w:sz="8" w:space="0" w:color="auto"/>
              <w:right w:val="nil"/>
            </w:tcBorders>
            <w:shd w:val="clear" w:color="000000" w:fill="D9D9D9"/>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Model 2</w:t>
            </w:r>
          </w:p>
        </w:tc>
        <w:tc>
          <w:tcPr>
            <w:tcW w:w="1533" w:type="dxa"/>
            <w:tcBorders>
              <w:top w:val="nil"/>
              <w:left w:val="nil"/>
              <w:bottom w:val="single" w:sz="8" w:space="0" w:color="auto"/>
              <w:right w:val="nil"/>
            </w:tcBorders>
            <w:shd w:val="clear" w:color="000000" w:fill="D9D9D9"/>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Model 3</w:t>
            </w:r>
          </w:p>
        </w:tc>
      </w:tr>
      <w:tr w:rsidR="005E7181" w:rsidRPr="001C6D7B" w:rsidTr="007E205E">
        <w:trPr>
          <w:trHeight w:val="333"/>
        </w:trPr>
        <w:tc>
          <w:tcPr>
            <w:tcW w:w="3066" w:type="dxa"/>
            <w:gridSpan w:val="2"/>
            <w:tcBorders>
              <w:top w:val="single" w:sz="8" w:space="0" w:color="auto"/>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Total women</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bCs/>
                <w:color w:val="000000"/>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Times New Roman" w:hAnsi="Times New Roman" w:cs="Times New Roman"/>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Times New Roman" w:hAnsi="Times New Roman" w:cs="Times New Roman"/>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Times New Roman" w:hAnsi="Times New Roman" w:cs="Times New Roman"/>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Times New Roman" w:hAnsi="Times New Roman" w:cs="Times New Roman"/>
                <w:kern w:val="0"/>
                <w:szCs w:val="20"/>
              </w:rPr>
            </w:pP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Continuous,</w:t>
            </w:r>
          </w:p>
        </w:tc>
        <w:tc>
          <w:tcPr>
            <w:tcW w:w="1533" w:type="dxa"/>
            <w:vMerge w:val="restart"/>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15637</w:t>
            </w:r>
          </w:p>
        </w:tc>
        <w:tc>
          <w:tcPr>
            <w:tcW w:w="1533" w:type="dxa"/>
            <w:vMerge w:val="restart"/>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5012 (32.0)</w:t>
            </w:r>
          </w:p>
        </w:tc>
        <w:tc>
          <w:tcPr>
            <w:tcW w:w="1533" w:type="dxa"/>
            <w:vMerge w:val="restart"/>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1.07 (1.06-1.08)</w:t>
            </w:r>
          </w:p>
        </w:tc>
        <w:tc>
          <w:tcPr>
            <w:tcW w:w="1533" w:type="dxa"/>
            <w:vMerge w:val="restart"/>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1.02 (1.01-1.03)</w:t>
            </w:r>
          </w:p>
        </w:tc>
        <w:tc>
          <w:tcPr>
            <w:tcW w:w="1533" w:type="dxa"/>
            <w:vMerge w:val="restart"/>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1.02 (1.01-1.03)</w:t>
            </w:r>
          </w:p>
        </w:tc>
        <w:tc>
          <w:tcPr>
            <w:tcW w:w="1533" w:type="dxa"/>
            <w:vMerge w:val="restart"/>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1.01 (1.00-1.03)</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per 1 year early</w:t>
            </w:r>
          </w:p>
        </w:tc>
        <w:tc>
          <w:tcPr>
            <w:tcW w:w="1533" w:type="dxa"/>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Category</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Times New Roman" w:hAnsi="Times New Roman" w:cs="Times New Roman"/>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left"/>
              <w:rPr>
                <w:rFonts w:ascii="Times New Roman" w:eastAsia="Times New Roman" w:hAnsi="Times New Roman" w:cs="Times New Roman"/>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Times New Roman" w:hAnsi="Times New Roman" w:cs="Times New Roman"/>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Times New Roman" w:hAnsi="Times New Roman" w:cs="Times New Roman"/>
                <w:szCs w:val="20"/>
              </w:rPr>
            </w:pP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&lt;20</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1111</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459 (41.3)</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1.85 (1.62-2.12)</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1.21 (1.05-1.40)</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1.22 (1.06-1.41)</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1.20 (1.01-1.42)</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20-24</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8665</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2963 (34.2)</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1.37 (1.27-1.48)</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1.08 (1.00-1.18)</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1.09 (1.00-1.18)</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1.04 (0.94-1.15)</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25-29</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5079</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1398 (27.5)</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1.00 (ref)</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1.00 (ref)</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1.00 (ref)</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1.00 (ref)</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≥30</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782</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192 (24.6)</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0.86 (0.72-1.02)</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0.91 (0.76-1.09)</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0.92 (0.76-1.10)</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1.00 (0.79-1.26)</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4F594A">
              <w:rPr>
                <w:rFonts w:ascii="Times New Roman" w:eastAsia="맑은 고딕" w:hAnsi="Times New Roman" w:cs="Times New Roman"/>
                <w:i/>
                <w:iCs/>
                <w:color w:val="000000"/>
                <w:kern w:val="0"/>
                <w:szCs w:val="20"/>
              </w:rPr>
              <w:t xml:space="preserve">p </w:t>
            </w:r>
            <w:r w:rsidRPr="004F594A">
              <w:rPr>
                <w:rFonts w:ascii="Times New Roman" w:eastAsia="맑은 고딕" w:hAnsi="Times New Roman" w:cs="Times New Roman"/>
                <w:color w:val="000000"/>
                <w:kern w:val="0"/>
                <w:szCs w:val="20"/>
              </w:rPr>
              <w:t>for trend</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i/>
                <w:iCs/>
                <w:color w:val="000000"/>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Times New Roman" w:hAnsi="Times New Roman" w:cs="Times New Roman"/>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&lt;0.001</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0.001</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0.001</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0.077</w:t>
            </w:r>
          </w:p>
        </w:tc>
      </w:tr>
      <w:tr w:rsidR="005E7181" w:rsidRPr="001C6D7B" w:rsidTr="007E205E">
        <w:trPr>
          <w:trHeight w:val="333"/>
        </w:trPr>
        <w:tc>
          <w:tcPr>
            <w:tcW w:w="10731" w:type="dxa"/>
            <w:gridSpan w:val="7"/>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bCs/>
                <w:color w:val="000000"/>
                <w:kern w:val="0"/>
                <w:szCs w:val="20"/>
              </w:rPr>
            </w:pPr>
            <w:r w:rsidRPr="004F594A">
              <w:rPr>
                <w:rFonts w:ascii="Times New Roman" w:eastAsia="맑은 고딕" w:hAnsi="Times New Roman" w:cs="Times New Roman"/>
                <w:bCs/>
                <w:color w:val="000000"/>
                <w:kern w:val="0"/>
                <w:szCs w:val="20"/>
              </w:rPr>
              <w:t>Postmenopausal women</w:t>
            </w:r>
            <w:r w:rsidRPr="004F594A">
              <w:rPr>
                <w:rFonts w:ascii="맑은 고딕" w:eastAsia="맑은 고딕" w:hAnsi="맑은 고딕" w:cs="Times New Roman" w:hint="eastAsia"/>
                <w:bCs/>
                <w:color w:val="000000"/>
                <w:kern w:val="0"/>
                <w:szCs w:val="20"/>
              </w:rPr>
              <w:t xml:space="preserve">　</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Continuous,</w:t>
            </w:r>
          </w:p>
        </w:tc>
        <w:tc>
          <w:tcPr>
            <w:tcW w:w="1533" w:type="dxa"/>
            <w:vMerge w:val="restart"/>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11951</w:t>
            </w:r>
          </w:p>
        </w:tc>
        <w:tc>
          <w:tcPr>
            <w:tcW w:w="1533" w:type="dxa"/>
            <w:vMerge w:val="restart"/>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4217 (35.3)</w:t>
            </w:r>
          </w:p>
        </w:tc>
        <w:tc>
          <w:tcPr>
            <w:tcW w:w="1533" w:type="dxa"/>
            <w:vMerge w:val="restart"/>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1.05 (1.04-1.07)</w:t>
            </w:r>
          </w:p>
        </w:tc>
        <w:tc>
          <w:tcPr>
            <w:tcW w:w="1533" w:type="dxa"/>
            <w:vMerge w:val="restart"/>
            <w:tcBorders>
              <w:top w:val="nil"/>
              <w:left w:val="nil"/>
              <w:bottom w:val="nil"/>
              <w:right w:val="nil"/>
            </w:tcBorders>
            <w:shd w:val="clear" w:color="auto" w:fill="auto"/>
            <w:vAlign w:val="bottom"/>
            <w:hideMark/>
          </w:tcPr>
          <w:p w:rsidR="005E7181" w:rsidRPr="004F594A" w:rsidRDefault="005E7181" w:rsidP="007E205E">
            <w:pPr>
              <w:widowControl/>
              <w:wordWrap/>
              <w:autoSpaceDE/>
              <w:autoSpaceDN/>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1.02 (1.01-1.04)</w:t>
            </w:r>
          </w:p>
        </w:tc>
        <w:tc>
          <w:tcPr>
            <w:tcW w:w="1533" w:type="dxa"/>
            <w:vMerge w:val="restart"/>
            <w:tcBorders>
              <w:top w:val="nil"/>
              <w:left w:val="nil"/>
              <w:bottom w:val="nil"/>
              <w:right w:val="nil"/>
            </w:tcBorders>
            <w:shd w:val="clear" w:color="auto" w:fill="auto"/>
            <w:vAlign w:val="bottom"/>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1.03 (1.01-1.04)</w:t>
            </w:r>
          </w:p>
        </w:tc>
        <w:tc>
          <w:tcPr>
            <w:tcW w:w="1533" w:type="dxa"/>
            <w:vMerge w:val="restart"/>
            <w:tcBorders>
              <w:top w:val="nil"/>
              <w:left w:val="nil"/>
              <w:bottom w:val="nil"/>
              <w:right w:val="nil"/>
            </w:tcBorders>
            <w:shd w:val="clear" w:color="auto" w:fill="auto"/>
            <w:vAlign w:val="bottom"/>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1.01 (1.00-1.03)</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per 1 year early</w:t>
            </w:r>
          </w:p>
        </w:tc>
        <w:tc>
          <w:tcPr>
            <w:tcW w:w="1533" w:type="dxa"/>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bottom"/>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bottom"/>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533" w:type="dxa"/>
            <w:vMerge/>
            <w:tcBorders>
              <w:top w:val="nil"/>
              <w:left w:val="nil"/>
              <w:bottom w:val="nil"/>
              <w:right w:val="nil"/>
            </w:tcBorders>
            <w:vAlign w:val="bottom"/>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Category</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Times New Roman" w:hAnsi="Times New Roman" w:cs="Times New Roman"/>
                <w:kern w:val="0"/>
                <w:szCs w:val="20"/>
              </w:rPr>
            </w:pP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left"/>
              <w:rPr>
                <w:rFonts w:ascii="Times New Roman" w:eastAsia="Times New Roman" w:hAnsi="Times New Roman" w:cs="Times New Roman"/>
                <w:kern w:val="0"/>
                <w:szCs w:val="20"/>
              </w:rPr>
            </w:pPr>
          </w:p>
        </w:tc>
        <w:tc>
          <w:tcPr>
            <w:tcW w:w="1533" w:type="dxa"/>
            <w:tcBorders>
              <w:top w:val="nil"/>
              <w:left w:val="nil"/>
              <w:bottom w:val="nil"/>
              <w:right w:val="nil"/>
            </w:tcBorders>
            <w:shd w:val="clear" w:color="auto" w:fill="auto"/>
            <w:vAlign w:val="bottom"/>
            <w:hideMark/>
          </w:tcPr>
          <w:p w:rsidR="005E7181" w:rsidRPr="004F594A" w:rsidRDefault="005E7181" w:rsidP="007E205E">
            <w:pPr>
              <w:jc w:val="center"/>
              <w:rPr>
                <w:rFonts w:ascii="Times New Roman" w:eastAsia="맑은 고딕" w:hAnsi="Times New Roman" w:cs="Times New Roman"/>
                <w:color w:val="000000"/>
                <w:szCs w:val="20"/>
              </w:rPr>
            </w:pPr>
          </w:p>
        </w:tc>
        <w:tc>
          <w:tcPr>
            <w:tcW w:w="1533" w:type="dxa"/>
            <w:tcBorders>
              <w:top w:val="nil"/>
              <w:left w:val="nil"/>
              <w:bottom w:val="nil"/>
              <w:right w:val="nil"/>
            </w:tcBorders>
            <w:shd w:val="clear" w:color="auto" w:fill="auto"/>
            <w:vAlign w:val="bottom"/>
            <w:hideMark/>
          </w:tcPr>
          <w:p w:rsidR="005E7181" w:rsidRPr="004F594A" w:rsidRDefault="005E7181" w:rsidP="007E205E">
            <w:pPr>
              <w:jc w:val="center"/>
              <w:rPr>
                <w:rFonts w:ascii="Times New Roman" w:eastAsia="Times New Roman" w:hAnsi="Times New Roman" w:cs="Times New Roman"/>
                <w:szCs w:val="20"/>
              </w:rPr>
            </w:pPr>
          </w:p>
        </w:tc>
        <w:tc>
          <w:tcPr>
            <w:tcW w:w="1533" w:type="dxa"/>
            <w:tcBorders>
              <w:top w:val="nil"/>
              <w:left w:val="nil"/>
              <w:bottom w:val="nil"/>
              <w:right w:val="nil"/>
            </w:tcBorders>
            <w:shd w:val="clear" w:color="auto" w:fill="auto"/>
            <w:vAlign w:val="bottom"/>
            <w:hideMark/>
          </w:tcPr>
          <w:p w:rsidR="005E7181" w:rsidRPr="004F594A" w:rsidRDefault="005E7181" w:rsidP="007E205E">
            <w:pPr>
              <w:jc w:val="center"/>
              <w:rPr>
                <w:rFonts w:ascii="Times New Roman" w:eastAsia="Times New Roman" w:hAnsi="Times New Roman" w:cs="Times New Roman"/>
                <w:szCs w:val="20"/>
              </w:rPr>
            </w:pP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&lt;20</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993</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428 (43.1)</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1.68 (1.45-1.94)</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1.28 (1.09-1.49)</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1.29 (1.10-1.51)</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1.20 (1.02-1.42)</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20-24</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7115</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2602 (36.6)</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1.28 (1.17-1.39)</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1.12 (1.02-1.22)</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1.12 (1.02-1.23)</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1.04 (0.94-1.16)</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25-29</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3389</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1054 (31.1)</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1.00 (ref)</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1.00 (ref)</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1.00 (ref)</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1.00 (ref)</w:t>
            </w:r>
          </w:p>
        </w:tc>
      </w:tr>
      <w:tr w:rsidR="005E7181" w:rsidRPr="001C6D7B" w:rsidTr="007E205E">
        <w:trPr>
          <w:trHeight w:val="333"/>
        </w:trPr>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≥30</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454</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133 (29.3)</w:t>
            </w:r>
          </w:p>
        </w:tc>
        <w:tc>
          <w:tcPr>
            <w:tcW w:w="1533" w:type="dxa"/>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0.92 (0.74-1.14)</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0.91 (0.73-1.14)</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0.93 (0.75-1.16)</w:t>
            </w:r>
          </w:p>
        </w:tc>
        <w:tc>
          <w:tcPr>
            <w:tcW w:w="1533" w:type="dxa"/>
            <w:tcBorders>
              <w:top w:val="nil"/>
              <w:left w:val="nil"/>
              <w:bottom w:val="nil"/>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0.99 (0.79-1.25)</w:t>
            </w:r>
          </w:p>
        </w:tc>
      </w:tr>
      <w:tr w:rsidR="005E7181" w:rsidRPr="001C6D7B" w:rsidTr="007E205E">
        <w:trPr>
          <w:trHeight w:val="344"/>
        </w:trPr>
        <w:tc>
          <w:tcPr>
            <w:tcW w:w="1533" w:type="dxa"/>
            <w:tcBorders>
              <w:top w:val="nil"/>
              <w:left w:val="nil"/>
              <w:bottom w:val="single" w:sz="8" w:space="0" w:color="auto"/>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4F594A">
              <w:rPr>
                <w:rFonts w:ascii="Times New Roman" w:eastAsia="맑은 고딕" w:hAnsi="Times New Roman" w:cs="Times New Roman"/>
                <w:i/>
                <w:iCs/>
                <w:color w:val="000000"/>
                <w:kern w:val="0"/>
                <w:szCs w:val="20"/>
              </w:rPr>
              <w:t xml:space="preserve">p </w:t>
            </w:r>
            <w:r w:rsidRPr="004F594A">
              <w:rPr>
                <w:rFonts w:ascii="Times New Roman" w:eastAsia="맑은 고딕" w:hAnsi="Times New Roman" w:cs="Times New Roman"/>
                <w:color w:val="000000"/>
                <w:kern w:val="0"/>
                <w:szCs w:val="20"/>
              </w:rPr>
              <w:t>for trend</w:t>
            </w:r>
          </w:p>
        </w:tc>
        <w:tc>
          <w:tcPr>
            <w:tcW w:w="1533" w:type="dxa"/>
            <w:tcBorders>
              <w:top w:val="nil"/>
              <w:left w:val="nil"/>
              <w:bottom w:val="single" w:sz="8" w:space="0" w:color="auto"/>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맑은 고딕" w:eastAsia="맑은 고딕" w:hAnsi="맑은 고딕" w:cs="굴림"/>
                <w:color w:val="000000"/>
                <w:kern w:val="0"/>
                <w:szCs w:val="20"/>
              </w:rPr>
            </w:pPr>
            <w:r w:rsidRPr="004F594A">
              <w:rPr>
                <w:rFonts w:ascii="맑은 고딕" w:eastAsia="맑은 고딕" w:hAnsi="맑은 고딕" w:cs="굴림" w:hint="eastAsia"/>
                <w:color w:val="000000"/>
                <w:kern w:val="0"/>
                <w:szCs w:val="20"/>
              </w:rPr>
              <w:t xml:space="preserve">　</w:t>
            </w:r>
          </w:p>
        </w:tc>
        <w:tc>
          <w:tcPr>
            <w:tcW w:w="1533" w:type="dxa"/>
            <w:tcBorders>
              <w:top w:val="nil"/>
              <w:left w:val="nil"/>
              <w:bottom w:val="single" w:sz="8" w:space="0" w:color="auto"/>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맑은 고딕" w:eastAsia="맑은 고딕" w:hAnsi="맑은 고딕" w:cs="굴림"/>
                <w:color w:val="000000"/>
                <w:kern w:val="0"/>
                <w:szCs w:val="20"/>
              </w:rPr>
            </w:pPr>
            <w:r w:rsidRPr="004F594A">
              <w:rPr>
                <w:rFonts w:ascii="맑은 고딕" w:eastAsia="맑은 고딕" w:hAnsi="맑은 고딕" w:cs="굴림" w:hint="eastAsia"/>
                <w:color w:val="000000"/>
                <w:kern w:val="0"/>
                <w:szCs w:val="20"/>
              </w:rPr>
              <w:t xml:space="preserve">　</w:t>
            </w:r>
          </w:p>
        </w:tc>
        <w:tc>
          <w:tcPr>
            <w:tcW w:w="1533" w:type="dxa"/>
            <w:tcBorders>
              <w:top w:val="nil"/>
              <w:left w:val="nil"/>
              <w:bottom w:val="single" w:sz="8" w:space="0" w:color="auto"/>
              <w:right w:val="nil"/>
            </w:tcBorders>
            <w:shd w:val="clear" w:color="auto" w:fill="auto"/>
            <w:vAlign w:val="center"/>
            <w:hideMark/>
          </w:tcPr>
          <w:p w:rsidR="005E7181" w:rsidRPr="004F594A" w:rsidRDefault="005E7181" w:rsidP="007E205E">
            <w:pPr>
              <w:widowControl/>
              <w:wordWrap/>
              <w:autoSpaceDE/>
              <w:autoSpaceDN/>
              <w:spacing w:after="0" w:line="240" w:lineRule="auto"/>
              <w:jc w:val="center"/>
              <w:rPr>
                <w:rFonts w:ascii="Times New Roman" w:eastAsia="맑은 고딕" w:hAnsi="Times New Roman" w:cs="Times New Roman"/>
                <w:color w:val="000000"/>
                <w:kern w:val="0"/>
                <w:szCs w:val="20"/>
              </w:rPr>
            </w:pPr>
            <w:r w:rsidRPr="004F594A">
              <w:rPr>
                <w:rFonts w:ascii="Times New Roman" w:eastAsia="맑은 고딕" w:hAnsi="Times New Roman" w:cs="Times New Roman"/>
                <w:color w:val="000000"/>
                <w:kern w:val="0"/>
                <w:szCs w:val="20"/>
              </w:rPr>
              <w:t>&lt;0.001</w:t>
            </w:r>
          </w:p>
        </w:tc>
        <w:tc>
          <w:tcPr>
            <w:tcW w:w="1533" w:type="dxa"/>
            <w:tcBorders>
              <w:top w:val="nil"/>
              <w:left w:val="nil"/>
              <w:bottom w:val="single" w:sz="8" w:space="0" w:color="auto"/>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&lt;0.001</w:t>
            </w:r>
          </w:p>
        </w:tc>
        <w:tc>
          <w:tcPr>
            <w:tcW w:w="1533" w:type="dxa"/>
            <w:tcBorders>
              <w:top w:val="nil"/>
              <w:left w:val="nil"/>
              <w:bottom w:val="single" w:sz="8" w:space="0" w:color="auto"/>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&lt;0.001</w:t>
            </w:r>
          </w:p>
        </w:tc>
        <w:tc>
          <w:tcPr>
            <w:tcW w:w="1533" w:type="dxa"/>
            <w:tcBorders>
              <w:top w:val="nil"/>
              <w:left w:val="nil"/>
              <w:bottom w:val="single" w:sz="8" w:space="0" w:color="auto"/>
              <w:right w:val="nil"/>
            </w:tcBorders>
            <w:shd w:val="clear" w:color="auto" w:fill="auto"/>
            <w:vAlign w:val="center"/>
            <w:hideMark/>
          </w:tcPr>
          <w:p w:rsidR="005E7181" w:rsidRPr="004F594A" w:rsidRDefault="005E7181" w:rsidP="007E205E">
            <w:pPr>
              <w:jc w:val="center"/>
              <w:rPr>
                <w:rFonts w:ascii="Times New Roman" w:eastAsia="맑은 고딕" w:hAnsi="Times New Roman" w:cs="Times New Roman"/>
                <w:color w:val="000000"/>
                <w:szCs w:val="20"/>
              </w:rPr>
            </w:pPr>
            <w:r w:rsidRPr="004F594A">
              <w:rPr>
                <w:rFonts w:ascii="Times New Roman" w:eastAsia="맑은 고딕" w:hAnsi="Times New Roman" w:cs="Times New Roman"/>
                <w:color w:val="000000"/>
                <w:szCs w:val="20"/>
              </w:rPr>
              <w:t>0.070</w:t>
            </w:r>
          </w:p>
        </w:tc>
      </w:tr>
      <w:tr w:rsidR="005E7181" w:rsidRPr="001C6D7B" w:rsidTr="007E205E">
        <w:trPr>
          <w:trHeight w:val="333"/>
        </w:trPr>
        <w:tc>
          <w:tcPr>
            <w:tcW w:w="10731" w:type="dxa"/>
            <w:gridSpan w:val="7"/>
            <w:tcBorders>
              <w:top w:val="single" w:sz="8" w:space="0" w:color="auto"/>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 w:val="18"/>
                <w:szCs w:val="18"/>
              </w:rPr>
            </w:pPr>
            <w:r w:rsidRPr="004F594A">
              <w:rPr>
                <w:rFonts w:ascii="Times New Roman" w:eastAsia="맑은 고딕" w:hAnsi="Times New Roman" w:cs="Times New Roman"/>
                <w:color w:val="000000"/>
                <w:kern w:val="0"/>
                <w:sz w:val="18"/>
                <w:szCs w:val="18"/>
              </w:rPr>
              <w:t xml:space="preserve">CI, confidence interval </w:t>
            </w:r>
          </w:p>
        </w:tc>
      </w:tr>
      <w:tr w:rsidR="005E7181" w:rsidRPr="001C6D7B" w:rsidTr="007E205E">
        <w:trPr>
          <w:trHeight w:val="333"/>
        </w:trPr>
        <w:tc>
          <w:tcPr>
            <w:tcW w:w="10731" w:type="dxa"/>
            <w:gridSpan w:val="7"/>
            <w:tcBorders>
              <w:top w:val="nil"/>
              <w:left w:val="nil"/>
              <w:bottom w:val="nil"/>
              <w:right w:val="nil"/>
            </w:tcBorders>
            <w:shd w:val="clear" w:color="auto" w:fill="auto"/>
            <w:vAlign w:val="center"/>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 w:val="18"/>
                <w:szCs w:val="18"/>
              </w:rPr>
            </w:pPr>
            <w:r w:rsidRPr="004F594A">
              <w:rPr>
                <w:rFonts w:ascii="Times New Roman" w:eastAsia="맑은 고딕" w:hAnsi="Times New Roman" w:cs="Times New Roman"/>
                <w:color w:val="000000"/>
                <w:kern w:val="0"/>
                <w:sz w:val="18"/>
                <w:szCs w:val="18"/>
              </w:rPr>
              <w:t xml:space="preserve">*Cases for hypertriglyceridemia </w:t>
            </w:r>
          </w:p>
        </w:tc>
      </w:tr>
      <w:tr w:rsidR="005E7181" w:rsidRPr="001C6D7B" w:rsidTr="007E205E">
        <w:trPr>
          <w:trHeight w:val="333"/>
        </w:trPr>
        <w:tc>
          <w:tcPr>
            <w:tcW w:w="10731" w:type="dxa"/>
            <w:gridSpan w:val="7"/>
            <w:tcBorders>
              <w:top w:val="nil"/>
              <w:left w:val="nil"/>
              <w:bottom w:val="nil"/>
              <w:right w:val="nil"/>
            </w:tcBorders>
            <w:shd w:val="clear" w:color="auto" w:fill="auto"/>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 w:val="18"/>
                <w:szCs w:val="18"/>
              </w:rPr>
            </w:pPr>
            <w:r w:rsidRPr="004F594A">
              <w:rPr>
                <w:rFonts w:ascii="Times New Roman" w:eastAsia="맑은 고딕" w:hAnsi="Times New Roman" w:cs="Times New Roman"/>
                <w:color w:val="000000"/>
                <w:kern w:val="0"/>
                <w:sz w:val="18"/>
                <w:szCs w:val="18"/>
              </w:rPr>
              <w:t xml:space="preserve">Model 1: adjusted for age, study site, body mass index, menopausal status (only for total), blood pressure, and diabetes </w:t>
            </w:r>
          </w:p>
        </w:tc>
      </w:tr>
      <w:tr w:rsidR="005E7181" w:rsidRPr="001C6D7B" w:rsidTr="007E205E">
        <w:trPr>
          <w:trHeight w:val="367"/>
        </w:trPr>
        <w:tc>
          <w:tcPr>
            <w:tcW w:w="10731" w:type="dxa"/>
            <w:gridSpan w:val="7"/>
            <w:tcBorders>
              <w:top w:val="nil"/>
              <w:left w:val="nil"/>
              <w:bottom w:val="nil"/>
              <w:right w:val="nil"/>
            </w:tcBorders>
            <w:shd w:val="clear" w:color="auto" w:fill="auto"/>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 w:val="18"/>
                <w:szCs w:val="18"/>
              </w:rPr>
            </w:pPr>
            <w:r w:rsidRPr="004F594A">
              <w:rPr>
                <w:rFonts w:ascii="Times New Roman" w:eastAsia="맑은 고딕" w:hAnsi="Times New Roman" w:cs="Times New Roman"/>
                <w:color w:val="000000"/>
                <w:kern w:val="0"/>
                <w:sz w:val="18"/>
                <w:szCs w:val="18"/>
              </w:rPr>
              <w:t xml:space="preserve">Model 2: adjusted for age, study site, body mass index, menopausal status (only for total), blood pressure, diabetes, alcohol consumption, carbohydrate intake, income, marital status, and education </w:t>
            </w:r>
          </w:p>
        </w:tc>
      </w:tr>
      <w:tr w:rsidR="005E7181" w:rsidRPr="001C6D7B" w:rsidTr="007E205E">
        <w:trPr>
          <w:trHeight w:val="533"/>
        </w:trPr>
        <w:tc>
          <w:tcPr>
            <w:tcW w:w="10731" w:type="dxa"/>
            <w:gridSpan w:val="7"/>
            <w:vMerge w:val="restart"/>
            <w:tcBorders>
              <w:top w:val="nil"/>
              <w:left w:val="nil"/>
              <w:bottom w:val="nil"/>
              <w:right w:val="nil"/>
            </w:tcBorders>
            <w:shd w:val="clear" w:color="auto" w:fill="auto"/>
            <w:hideMark/>
          </w:tcPr>
          <w:p w:rsidR="005E7181" w:rsidRPr="004F594A" w:rsidRDefault="005E7181" w:rsidP="007E205E">
            <w:pPr>
              <w:widowControl/>
              <w:wordWrap/>
              <w:autoSpaceDE/>
              <w:autoSpaceDN/>
              <w:spacing w:after="0" w:line="240" w:lineRule="auto"/>
              <w:rPr>
                <w:rFonts w:ascii="Times New Roman" w:eastAsia="맑은 고딕" w:hAnsi="Times New Roman" w:cs="Times New Roman"/>
                <w:color w:val="000000"/>
                <w:kern w:val="0"/>
                <w:sz w:val="18"/>
                <w:szCs w:val="18"/>
              </w:rPr>
            </w:pPr>
            <w:r w:rsidRPr="004F594A">
              <w:rPr>
                <w:rFonts w:ascii="Times New Roman" w:eastAsia="맑은 고딕" w:hAnsi="Times New Roman" w:cs="Times New Roman"/>
                <w:color w:val="000000"/>
                <w:kern w:val="0"/>
                <w:sz w:val="18"/>
                <w:szCs w:val="18"/>
              </w:rPr>
              <w:t>Model 3: adjusted for age, study site, body mass index, menopausal status (only for total), blood pressure, diabetes, alcohol consumption, carbohydrate intake, income, marital status, education, pairty, usage of oral contraceptives, and hormone replacement status</w:t>
            </w:r>
          </w:p>
        </w:tc>
      </w:tr>
      <w:tr w:rsidR="005E7181" w:rsidRPr="001C6D7B" w:rsidTr="007E205E">
        <w:trPr>
          <w:trHeight w:val="533"/>
        </w:trPr>
        <w:tc>
          <w:tcPr>
            <w:tcW w:w="10731" w:type="dxa"/>
            <w:gridSpan w:val="7"/>
            <w:vMerge/>
            <w:tcBorders>
              <w:top w:val="nil"/>
              <w:left w:val="nil"/>
              <w:bottom w:val="nil"/>
              <w:right w:val="nil"/>
            </w:tcBorders>
            <w:vAlign w:val="center"/>
            <w:hideMark/>
          </w:tcPr>
          <w:p w:rsidR="005E7181" w:rsidRPr="004F594A" w:rsidRDefault="005E7181" w:rsidP="007E205E">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r>
    </w:tbl>
    <w:p w:rsidR="006D2890" w:rsidRPr="006D2890" w:rsidRDefault="006D2890"/>
    <w:sectPr w:rsidR="006D2890" w:rsidRPr="006D2890" w:rsidSect="005E718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25" w:rsidRDefault="00D96B25" w:rsidP="006D2890">
      <w:pPr>
        <w:spacing w:after="0" w:line="240" w:lineRule="auto"/>
      </w:pPr>
      <w:r>
        <w:separator/>
      </w:r>
    </w:p>
  </w:endnote>
  <w:endnote w:type="continuationSeparator" w:id="0">
    <w:p w:rsidR="00D96B25" w:rsidRDefault="00D96B25" w:rsidP="006D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25" w:rsidRDefault="00D96B25" w:rsidP="006D2890">
      <w:pPr>
        <w:spacing w:after="0" w:line="240" w:lineRule="auto"/>
      </w:pPr>
      <w:r>
        <w:separator/>
      </w:r>
    </w:p>
  </w:footnote>
  <w:footnote w:type="continuationSeparator" w:id="0">
    <w:p w:rsidR="00D96B25" w:rsidRDefault="00D96B25" w:rsidP="006D2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81"/>
    <w:rsid w:val="00386753"/>
    <w:rsid w:val="00437F28"/>
    <w:rsid w:val="005E7181"/>
    <w:rsid w:val="006D2890"/>
    <w:rsid w:val="00871B3A"/>
    <w:rsid w:val="00B96878"/>
    <w:rsid w:val="00D96B25"/>
    <w:rsid w:val="00E0000C"/>
    <w:rsid w:val="00EF0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0339A-922C-498E-BF9A-D5DE8CA0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18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D2890"/>
    <w:pPr>
      <w:tabs>
        <w:tab w:val="center" w:pos="4513"/>
        <w:tab w:val="right" w:pos="9026"/>
      </w:tabs>
      <w:snapToGrid w:val="0"/>
    </w:pPr>
  </w:style>
  <w:style w:type="character" w:customStyle="1" w:styleId="Char">
    <w:name w:val="머리글 Char"/>
    <w:basedOn w:val="a0"/>
    <w:link w:val="a4"/>
    <w:uiPriority w:val="99"/>
    <w:rsid w:val="006D2890"/>
  </w:style>
  <w:style w:type="paragraph" w:styleId="a5">
    <w:name w:val="footer"/>
    <w:basedOn w:val="a"/>
    <w:link w:val="Char0"/>
    <w:uiPriority w:val="99"/>
    <w:unhideWhenUsed/>
    <w:rsid w:val="006D2890"/>
    <w:pPr>
      <w:tabs>
        <w:tab w:val="center" w:pos="4513"/>
        <w:tab w:val="right" w:pos="9026"/>
      </w:tabs>
      <w:snapToGrid w:val="0"/>
    </w:pPr>
  </w:style>
  <w:style w:type="character" w:customStyle="1" w:styleId="Char0">
    <w:name w:val="바닥글 Char"/>
    <w:basedOn w:val="a0"/>
    <w:link w:val="a5"/>
    <w:uiPriority w:val="99"/>
    <w:rsid w:val="006D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5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코호트센터</dc:creator>
  <cp:keywords/>
  <dc:description/>
  <cp:lastModifiedBy>AppPower</cp:lastModifiedBy>
  <cp:revision>2</cp:revision>
  <dcterms:created xsi:type="dcterms:W3CDTF">2023-03-31T03:50:00Z</dcterms:created>
  <dcterms:modified xsi:type="dcterms:W3CDTF">2023-03-31T03:50:00Z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C:\Users\cohort1\Dropbox\(강북삼성병원)\(논문)\(박사)학위논문\epih\revision\Supplementary Tables_rev.docx</vt:lpwstr>
  </property>
</Properties>
</file>