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FEBA" w14:textId="1653088E" w:rsidR="00DE2B4E" w:rsidRDefault="00DE2B4E" w:rsidP="00DE2B4E">
      <w:pPr>
        <w:ind w:firstLineChars="0" w:firstLine="0"/>
        <w:jc w:val="both"/>
        <w:rPr>
          <w:rFonts w:ascii="Times New Roman" w:hAnsi="Times New Roman" w:cs="Times New Roman"/>
          <w:b/>
          <w:szCs w:val="20"/>
        </w:rPr>
      </w:pPr>
      <w:r w:rsidRPr="008E76D6">
        <w:rPr>
          <w:rFonts w:ascii="Times New Roman" w:hAnsi="Times New Roman" w:cs="Times New Roman"/>
          <w:b/>
          <w:szCs w:val="20"/>
        </w:rPr>
        <w:t>Supplement</w:t>
      </w:r>
      <w:r>
        <w:rPr>
          <w:rFonts w:ascii="Times New Roman" w:hAnsi="Times New Roman" w:cs="Times New Roman"/>
          <w:b/>
          <w:szCs w:val="20"/>
        </w:rPr>
        <w:t>ary</w:t>
      </w:r>
      <w:r w:rsidRPr="008E76D6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Cs w:val="20"/>
        </w:rPr>
        <w:t>M</w:t>
      </w:r>
      <w:r>
        <w:rPr>
          <w:rFonts w:ascii="Times New Roman" w:hAnsi="Times New Roman" w:cs="Times New Roman"/>
          <w:b/>
          <w:szCs w:val="20"/>
        </w:rPr>
        <w:t>aterial</w:t>
      </w:r>
      <w:r w:rsidRPr="008E76D6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3. Results of mediation analysis between chronic periodontitis and the clinical variables for dementia</w:t>
      </w:r>
    </w:p>
    <w:tbl>
      <w:tblPr>
        <w:tblpPr w:leftFromText="142" w:rightFromText="142" w:vertAnchor="text" w:tblpY="1"/>
        <w:tblOverlap w:val="never"/>
        <w:tblW w:w="8931" w:type="dxa"/>
        <w:tblBorders>
          <w:top w:val="single" w:sz="3" w:space="0" w:color="0A0000"/>
          <w:left w:val="none" w:sz="3" w:space="0" w:color="000000"/>
          <w:bottom w:val="single" w:sz="3" w:space="0" w:color="0A0000"/>
          <w:right w:val="none" w:sz="3" w:space="0" w:color="000000"/>
          <w:insideH w:val="none" w:sz="0" w:space="0" w:color="000000"/>
          <w:insideV w:val="none" w:sz="0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DE2B4E" w:rsidRPr="008E76D6" w14:paraId="1B6EC02D" w14:textId="77777777" w:rsidTr="00501D2B">
        <w:tc>
          <w:tcPr>
            <w:tcW w:w="2232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6AA9ECAD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Clinical variables</w:t>
            </w:r>
          </w:p>
        </w:tc>
        <w:tc>
          <w:tcPr>
            <w:tcW w:w="2233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13E99127" w14:textId="77777777" w:rsidR="00DE2B4E" w:rsidRPr="008E76D6" w:rsidRDefault="00DE2B4E" w:rsidP="00501D2B">
            <w:pPr>
              <w:spacing w:after="0"/>
              <w:ind w:firstLineChars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F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for interaction</w:t>
            </w:r>
          </w:p>
        </w:tc>
        <w:tc>
          <w:tcPr>
            <w:tcW w:w="2233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027232A7" w14:textId="77777777" w:rsidR="00DE2B4E" w:rsidRPr="008E76D6" w:rsidRDefault="00DE2B4E" w:rsidP="00501D2B">
            <w:pPr>
              <w:spacing w:after="0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3F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for ACME in clinical variable model (a)*</w:t>
            </w:r>
          </w:p>
        </w:tc>
        <w:tc>
          <w:tcPr>
            <w:tcW w:w="2233" w:type="dxa"/>
            <w:tcBorders>
              <w:top w:val="single" w:sz="3" w:space="0" w:color="0A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720DEDF5" w14:textId="77777777" w:rsidR="00DE2B4E" w:rsidRDefault="00DE2B4E" w:rsidP="00501D2B">
            <w:pPr>
              <w:spacing w:after="0"/>
              <w:ind w:firstLineChars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FB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-value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for ACME in chronic periodontitis model (b)*</w:t>
            </w:r>
          </w:p>
        </w:tc>
      </w:tr>
      <w:tr w:rsidR="00DE2B4E" w:rsidRPr="008E76D6" w14:paraId="0DB872AD" w14:textId="77777777" w:rsidTr="00501D2B">
        <w:tc>
          <w:tcPr>
            <w:tcW w:w="2232" w:type="dxa"/>
            <w:tcBorders>
              <w:top w:val="single" w:sz="3" w:space="0" w:color="0A0000"/>
              <w:left w:val="none" w:sz="3" w:space="0" w:color="000000"/>
              <w:bottom w:val="nil"/>
              <w:right w:val="none" w:sz="3" w:space="0" w:color="000000"/>
            </w:tcBorders>
            <w:shd w:val="clear" w:color="auto" w:fill="FFFFFF"/>
          </w:tcPr>
          <w:p w14:paraId="02CF459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Sex</w:t>
            </w:r>
          </w:p>
        </w:tc>
        <w:tc>
          <w:tcPr>
            <w:tcW w:w="2233" w:type="dxa"/>
            <w:tcBorders>
              <w:top w:val="single" w:sz="3" w:space="0" w:color="0A0000"/>
              <w:left w:val="none" w:sz="3" w:space="0" w:color="000000"/>
              <w:bottom w:val="nil"/>
              <w:right w:val="none" w:sz="3" w:space="0" w:color="000000"/>
            </w:tcBorders>
            <w:shd w:val="clear" w:color="auto" w:fill="FFFFFF"/>
          </w:tcPr>
          <w:p w14:paraId="64AE1B2E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0.16</w:t>
            </w:r>
          </w:p>
        </w:tc>
        <w:tc>
          <w:tcPr>
            <w:tcW w:w="2233" w:type="dxa"/>
            <w:tcBorders>
              <w:top w:val="single" w:sz="3" w:space="0" w:color="0A0000"/>
              <w:left w:val="none" w:sz="3" w:space="0" w:color="000000"/>
              <w:bottom w:val="nil"/>
              <w:right w:val="none" w:sz="3" w:space="0" w:color="000000"/>
            </w:tcBorders>
            <w:shd w:val="clear" w:color="auto" w:fill="FFFFFF"/>
          </w:tcPr>
          <w:p w14:paraId="0655A5AF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0.67</w:t>
            </w:r>
          </w:p>
        </w:tc>
        <w:tc>
          <w:tcPr>
            <w:tcW w:w="2233" w:type="dxa"/>
            <w:tcBorders>
              <w:top w:val="single" w:sz="3" w:space="0" w:color="0A0000"/>
              <w:left w:val="none" w:sz="3" w:space="0" w:color="000000"/>
              <w:bottom w:val="nil"/>
              <w:right w:val="none" w:sz="3" w:space="0" w:color="000000"/>
            </w:tcBorders>
            <w:shd w:val="clear" w:color="auto" w:fill="FFFFFF"/>
          </w:tcPr>
          <w:p w14:paraId="1EC1D942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0.98</w:t>
            </w:r>
          </w:p>
        </w:tc>
      </w:tr>
      <w:tr w:rsidR="00DE2B4E" w:rsidRPr="008E76D6" w14:paraId="24BD3DA2" w14:textId="77777777" w:rsidTr="00501D2B"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14051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Age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13ACE1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0.99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BFAB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D5907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0.98</w:t>
            </w:r>
          </w:p>
        </w:tc>
      </w:tr>
      <w:tr w:rsidR="00DE2B4E" w:rsidRPr="008E76D6" w14:paraId="12BFBDED" w14:textId="77777777" w:rsidTr="00501D2B">
        <w:tc>
          <w:tcPr>
            <w:tcW w:w="2232" w:type="dxa"/>
            <w:tcBorders>
              <w:top w:val="nil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0AF22C66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Hypertension</w:t>
            </w:r>
          </w:p>
        </w:tc>
        <w:tc>
          <w:tcPr>
            <w:tcW w:w="2233" w:type="dxa"/>
            <w:tcBorders>
              <w:top w:val="nil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079DEF8B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2233" w:type="dxa"/>
            <w:tcBorders>
              <w:top w:val="nil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50FB5A99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0.27</w:t>
            </w:r>
          </w:p>
        </w:tc>
        <w:tc>
          <w:tcPr>
            <w:tcW w:w="2233" w:type="dxa"/>
            <w:tcBorders>
              <w:top w:val="nil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55CF74C6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0.99</w:t>
            </w:r>
          </w:p>
        </w:tc>
      </w:tr>
      <w:tr w:rsidR="00DE2B4E" w:rsidRPr="008E76D6" w14:paraId="75D5FA15" w14:textId="77777777" w:rsidTr="00501D2B">
        <w:tc>
          <w:tcPr>
            <w:tcW w:w="223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60E5F97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719F8E2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0.27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111CBAFF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0.76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163E79DE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</w:p>
        </w:tc>
      </w:tr>
      <w:tr w:rsidR="00DE2B4E" w:rsidRPr="008E76D6" w14:paraId="4AB382B9" w14:textId="77777777" w:rsidTr="00501D2B">
        <w:tc>
          <w:tcPr>
            <w:tcW w:w="223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2CE7FFED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Dyslipidemia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5B51EA28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0.63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7090F02C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0.33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035ABA8E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0.99</w:t>
            </w:r>
          </w:p>
        </w:tc>
      </w:tr>
      <w:tr w:rsidR="00DE2B4E" w:rsidRPr="008E76D6" w14:paraId="4AED3BBA" w14:textId="77777777" w:rsidTr="00501D2B">
        <w:tc>
          <w:tcPr>
            <w:tcW w:w="223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63AAC254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Heart disease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28EE0987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0.49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4EF040EE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0.80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71F7CFD6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0.98</w:t>
            </w:r>
          </w:p>
        </w:tc>
      </w:tr>
      <w:tr w:rsidR="00DE2B4E" w:rsidRPr="008E76D6" w14:paraId="7F005B8C" w14:textId="77777777" w:rsidTr="00501D2B">
        <w:tc>
          <w:tcPr>
            <w:tcW w:w="223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0A19397F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Cerebrovascular disease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04BF7856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0.50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40781B63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</w:tcPr>
          <w:p w14:paraId="5ABF7BE1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0.93</w:t>
            </w:r>
          </w:p>
        </w:tc>
      </w:tr>
      <w:tr w:rsidR="00DE2B4E" w:rsidRPr="008E76D6" w14:paraId="6F0324BE" w14:textId="77777777" w:rsidTr="00501D2B">
        <w:tc>
          <w:tcPr>
            <w:tcW w:w="2232" w:type="dxa"/>
            <w:tcBorders>
              <w:top w:val="none" w:sz="3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4BC510E1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76D6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62256DDD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0.34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50F4A73A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2233" w:type="dxa"/>
            <w:tcBorders>
              <w:top w:val="none" w:sz="3" w:space="0" w:color="000000"/>
              <w:left w:val="none" w:sz="3" w:space="0" w:color="000000"/>
              <w:bottom w:val="single" w:sz="3" w:space="0" w:color="0A0000"/>
              <w:right w:val="none" w:sz="3" w:space="0" w:color="000000"/>
            </w:tcBorders>
            <w:shd w:val="clear" w:color="auto" w:fill="FFFFFF"/>
          </w:tcPr>
          <w:p w14:paraId="54C04425" w14:textId="77777777" w:rsidR="00DE2B4E" w:rsidRPr="008E76D6" w:rsidRDefault="00DE2B4E" w:rsidP="00501D2B">
            <w:pPr>
              <w:spacing w:after="0"/>
              <w:ind w:firstLine="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0.95</w:t>
            </w:r>
          </w:p>
        </w:tc>
      </w:tr>
    </w:tbl>
    <w:p w14:paraId="66A57D0A" w14:textId="77777777" w:rsidR="00DE2B4E" w:rsidRDefault="00DE2B4E" w:rsidP="00DE2B4E">
      <w:pPr>
        <w:ind w:firstLineChars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ACME: average c</w:t>
      </w:r>
      <w:r w:rsidRPr="00232210">
        <w:rPr>
          <w:rFonts w:ascii="Times New Roman" w:hAnsi="Times New Roman" w:cs="Times New Roman"/>
          <w:szCs w:val="20"/>
        </w:rPr>
        <w:t xml:space="preserve">ausal </w:t>
      </w:r>
      <w:r>
        <w:rPr>
          <w:rFonts w:ascii="Times New Roman" w:hAnsi="Times New Roman" w:cs="Times New Roman"/>
          <w:szCs w:val="20"/>
        </w:rPr>
        <w:t>mediation e</w:t>
      </w:r>
      <w:r w:rsidRPr="00232210">
        <w:rPr>
          <w:rFonts w:ascii="Times New Roman" w:hAnsi="Times New Roman" w:cs="Times New Roman"/>
          <w:szCs w:val="20"/>
        </w:rPr>
        <w:t>ffect</w:t>
      </w:r>
    </w:p>
    <w:p w14:paraId="75BAD7C0" w14:textId="77777777" w:rsidR="00DE2B4E" w:rsidRPr="00DE2B4E" w:rsidRDefault="00DE2B4E" w:rsidP="00DE2B4E">
      <w:pPr>
        <w:ind w:firstLine="100"/>
      </w:pPr>
      <w:r>
        <w:rPr>
          <w:rFonts w:ascii="Times New Roman" w:hAnsi="Times New Roman" w:cs="Times New Roman" w:hint="eastAsia"/>
          <w:szCs w:val="20"/>
        </w:rPr>
        <w:t xml:space="preserve">*These </w:t>
      </w:r>
      <w:r>
        <w:rPr>
          <w:rFonts w:ascii="Times New Roman" w:hAnsi="Times New Roman" w:cs="Times New Roman"/>
          <w:szCs w:val="20"/>
        </w:rPr>
        <w:t xml:space="preserve">mediation </w:t>
      </w:r>
      <w:r>
        <w:rPr>
          <w:rFonts w:ascii="Times New Roman" w:hAnsi="Times New Roman" w:cs="Times New Roman" w:hint="eastAsia"/>
          <w:szCs w:val="20"/>
        </w:rPr>
        <w:t xml:space="preserve">models </w:t>
      </w:r>
      <w:r>
        <w:rPr>
          <w:rFonts w:ascii="Times New Roman" w:hAnsi="Times New Roman" w:cs="Times New Roman"/>
          <w:szCs w:val="20"/>
        </w:rPr>
        <w:t xml:space="preserve">were </w:t>
      </w:r>
      <w:r w:rsidRPr="00372F6B">
        <w:rPr>
          <w:rFonts w:ascii="Times New Roman" w:hAnsi="Times New Roman" w:cs="Times New Roman"/>
          <w:szCs w:val="20"/>
        </w:rPr>
        <w:t xml:space="preserve">adjusted for </w:t>
      </w:r>
      <w:r w:rsidRPr="00DD15DA">
        <w:rPr>
          <w:rFonts w:ascii="Times New Roman" w:hAnsi="Times New Roman" w:cs="Times New Roman"/>
          <w:szCs w:val="20"/>
        </w:rPr>
        <w:t xml:space="preserve">age, sex, income level, hypertension, diabetes, dyslipidemia, heart disease, cerebrovascular disease, depression, smoking, alcohol </w:t>
      </w:r>
      <w:r>
        <w:rPr>
          <w:rFonts w:ascii="Times New Roman" w:hAnsi="Times New Roman" w:cs="Times New Roman"/>
          <w:szCs w:val="20"/>
        </w:rPr>
        <w:t>consumption</w:t>
      </w:r>
      <w:r w:rsidRPr="00DD15DA">
        <w:rPr>
          <w:rFonts w:ascii="Times New Roman" w:hAnsi="Times New Roman" w:cs="Times New Roman"/>
          <w:szCs w:val="20"/>
        </w:rPr>
        <w:t xml:space="preserve">, regular exercise, </w:t>
      </w:r>
      <w:proofErr w:type="spellStart"/>
      <w:r w:rsidRPr="00DD15DA">
        <w:rPr>
          <w:rFonts w:ascii="Times New Roman" w:hAnsi="Times New Roman" w:cs="Times New Roman"/>
          <w:szCs w:val="20"/>
        </w:rPr>
        <w:t>Charlson</w:t>
      </w:r>
      <w:proofErr w:type="spellEnd"/>
      <w:r w:rsidRPr="00DD15D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C</w:t>
      </w:r>
      <w:r w:rsidRPr="00DD15DA">
        <w:rPr>
          <w:rFonts w:ascii="Times New Roman" w:hAnsi="Times New Roman" w:cs="Times New Roman"/>
          <w:szCs w:val="20"/>
        </w:rPr>
        <w:t xml:space="preserve">omorbidity </w:t>
      </w:r>
      <w:r>
        <w:rPr>
          <w:rFonts w:ascii="Times New Roman" w:hAnsi="Times New Roman" w:cs="Times New Roman"/>
          <w:szCs w:val="20"/>
        </w:rPr>
        <w:t>I</w:t>
      </w:r>
      <w:r w:rsidRPr="00DD15DA">
        <w:rPr>
          <w:rFonts w:ascii="Times New Roman" w:hAnsi="Times New Roman" w:cs="Times New Roman"/>
          <w:szCs w:val="20"/>
        </w:rPr>
        <w:t xml:space="preserve">ndex, </w:t>
      </w:r>
      <w:r>
        <w:rPr>
          <w:rFonts w:ascii="Times New Roman" w:hAnsi="Times New Roman" w:cs="Times New Roman"/>
          <w:szCs w:val="20"/>
        </w:rPr>
        <w:t>body mass index</w:t>
      </w:r>
      <w:r w:rsidRPr="00DD15DA">
        <w:rPr>
          <w:rFonts w:ascii="Times New Roman" w:hAnsi="Times New Roman" w:cs="Times New Roman"/>
          <w:szCs w:val="20"/>
        </w:rPr>
        <w:t>, blood pressure, fasting blood glucose and total cholesterol</w:t>
      </w:r>
      <w:r>
        <w:rPr>
          <w:rFonts w:ascii="Times New Roman" w:hAnsi="Times New Roman" w:cs="Times New Roman"/>
          <w:szCs w:val="20"/>
        </w:rPr>
        <w:t xml:space="preserve"> levels</w:t>
      </w:r>
      <w:r w:rsidRPr="00DD15DA">
        <w:rPr>
          <w:rFonts w:ascii="Times New Roman" w:hAnsi="Times New Roman" w:cs="Times New Roman"/>
          <w:szCs w:val="20"/>
        </w:rPr>
        <w:t>.</w:t>
      </w:r>
    </w:p>
    <w:sectPr w:rsidR="00DE2B4E" w:rsidRPr="00DE2B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4E"/>
    <w:rsid w:val="00003429"/>
    <w:rsid w:val="004F4433"/>
    <w:rsid w:val="00894316"/>
    <w:rsid w:val="00A4617B"/>
    <w:rsid w:val="00DA504C"/>
    <w:rsid w:val="00D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EC5D"/>
  <w15:chartTrackingRefBased/>
  <w15:docId w15:val="{2D492299-8FAC-480D-BF24-6F93AC9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B4E"/>
    <w:pPr>
      <w:spacing w:line="240" w:lineRule="auto"/>
      <w:ind w:firstLineChars="50" w:firstLine="50"/>
      <w:jc w:val="left"/>
    </w:pPr>
    <w:rPr>
      <w:rFonts w:ascii="맑은 고딕" w:eastAsia="맑은 고딕" w:hAnsi="맑은 고딕" w:cs="Arial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aliases w:val="annotation text Char"/>
    <w:link w:val="a3"/>
    <w:uiPriority w:val="99"/>
    <w:rsid w:val="00DE2B4E"/>
    <w:rPr>
      <w:rFonts w:ascii="맑은 고딕" w:eastAsia="맑은 고딕"/>
      <w:color w:val="000000"/>
      <w:kern w:val="1"/>
    </w:rPr>
  </w:style>
  <w:style w:type="paragraph" w:styleId="a3">
    <w:name w:val="annotation text"/>
    <w:aliases w:val="annotation text"/>
    <w:link w:val="Char"/>
    <w:uiPriority w:val="99"/>
    <w:rsid w:val="00DE2B4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firstLineChars="50" w:firstLine="50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1">
    <w:name w:val="메모 텍스트 Char1"/>
    <w:basedOn w:val="a0"/>
    <w:uiPriority w:val="99"/>
    <w:semiHidden/>
    <w:rsid w:val="00DE2B4E"/>
    <w:rPr>
      <w:rFonts w:ascii="맑은 고딕" w:eastAsia="맑은 고딕" w:hAnsi="맑은 고딕" w:cs="Arial"/>
      <w:color w:val="000000"/>
      <w:kern w:val="1"/>
    </w:rPr>
  </w:style>
  <w:style w:type="character" w:styleId="a4">
    <w:name w:val="annotation reference"/>
    <w:aliases w:val="annotation reference"/>
    <w:uiPriority w:val="99"/>
    <w:rsid w:val="00DE2B4E"/>
    <w:rPr>
      <w:rFonts w:ascii="맑은 고딕" w:eastAsia="맑은 고딕"/>
      <w:color w:val="000000"/>
      <w:kern w:val="1"/>
      <w:sz w:val="18"/>
      <w:szCs w:val="22"/>
    </w:rPr>
  </w:style>
  <w:style w:type="paragraph" w:customStyle="1" w:styleId="1">
    <w:name w:val="표준1"/>
    <w:rsid w:val="00DE2B4E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4" w:lineRule="auto"/>
      <w:ind w:firstLineChars="50" w:firstLine="50"/>
      <w:jc w:val="left"/>
      <w:textAlignment w:val="baseline"/>
    </w:pPr>
    <w:rPr>
      <w:rFonts w:ascii="맑은 고딕" w:eastAsia="굴림" w:hAnsi="맑은 고딕" w:cs="Arial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E32D-6780-4A68-AF0A-4A305D8F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김유린</dc:creator>
  <cp:keywords/>
  <dc:description/>
  <cp:lastModifiedBy>이제인</cp:lastModifiedBy>
  <cp:revision>2</cp:revision>
  <dcterms:created xsi:type="dcterms:W3CDTF">2022-12-02T04:46:00Z</dcterms:created>
  <dcterms:modified xsi:type="dcterms:W3CDTF">2022-12-02T04:46:00Z</dcterms:modified>
</cp:coreProperties>
</file>