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A33F" w14:textId="45B61DDD" w:rsidR="00681CE9" w:rsidRPr="009A03AE" w:rsidRDefault="005B605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Supplementary Material 3</w:t>
      </w:r>
      <w:r w:rsidR="00681CE9" w:rsidRPr="009A03AE">
        <w:rPr>
          <w:rFonts w:ascii="Times New Roman" w:hAnsi="Times New Roman" w:cs="Times New Roman"/>
          <w:b/>
          <w:bCs/>
          <w:sz w:val="24"/>
          <w:szCs w:val="24"/>
        </w:rPr>
        <w:t xml:space="preserve">. Model projection </w:t>
      </w:r>
      <w:r w:rsidR="009A20F1" w:rsidRPr="009A03AE">
        <w:rPr>
          <w:rFonts w:ascii="Times New Roman" w:hAnsi="Times New Roman" w:cs="Times New Roman"/>
          <w:b/>
          <w:bCs/>
          <w:sz w:val="24"/>
          <w:szCs w:val="24"/>
        </w:rPr>
        <w:t xml:space="preserve">for treatment to all adult </w:t>
      </w:r>
      <w:r w:rsidR="005561D2" w:rsidRPr="009A03AE">
        <w:rPr>
          <w:rFonts w:ascii="Times New Roman" w:hAnsi="Times New Roman" w:cs="Times New Roman"/>
          <w:b/>
          <w:bCs/>
          <w:sz w:val="24"/>
          <w:szCs w:val="24"/>
        </w:rPr>
        <w:t xml:space="preserve">patients </w:t>
      </w:r>
      <w:r w:rsidR="009A20F1" w:rsidRPr="009A03AE">
        <w:rPr>
          <w:rFonts w:ascii="Times New Roman" w:hAnsi="Times New Roman" w:cs="Times New Roman"/>
          <w:b/>
          <w:bCs/>
          <w:sz w:val="24"/>
          <w:szCs w:val="24"/>
        </w:rPr>
        <w:t>scenario</w:t>
      </w:r>
    </w:p>
    <w:p w14:paraId="23A06A8F" w14:textId="2E86A2D2" w:rsidR="00EF2B9E" w:rsidRPr="009A03AE" w:rsidRDefault="00ED3B1D" w:rsidP="00ED3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b/>
          <w:bCs/>
          <w:sz w:val="24"/>
          <w:szCs w:val="24"/>
        </w:rPr>
        <w:t>Model outputs</w:t>
      </w:r>
      <w:r w:rsidR="000422BF" w:rsidRPr="009A03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1" w:name="_Hlk94105429"/>
      <w:r w:rsidRPr="009A03AE">
        <w:rPr>
          <w:rFonts w:ascii="Times New Roman" w:hAnsi="Times New Roman" w:cs="Times New Roman"/>
          <w:sz w:val="24"/>
          <w:szCs w:val="24"/>
        </w:rPr>
        <w:t xml:space="preserve">From </w:t>
      </w:r>
      <w:r w:rsidR="00276760" w:rsidRPr="009A03AE">
        <w:rPr>
          <w:rFonts w:ascii="Times New Roman" w:hAnsi="Times New Roman" w:cs="Times New Roman"/>
          <w:sz w:val="24"/>
          <w:szCs w:val="24"/>
        </w:rPr>
        <w:t xml:space="preserve">an existing </w:t>
      </w:r>
      <w:r w:rsidRPr="009A03AE">
        <w:rPr>
          <w:rFonts w:ascii="Times New Roman" w:hAnsi="Times New Roman" w:cs="Times New Roman"/>
          <w:sz w:val="24"/>
          <w:szCs w:val="24"/>
        </w:rPr>
        <w:t xml:space="preserve">COVID 19 </w:t>
      </w:r>
      <w:r w:rsidR="00276760" w:rsidRPr="009A03AE">
        <w:rPr>
          <w:rFonts w:ascii="Times New Roman" w:hAnsi="Times New Roman" w:cs="Times New Roman"/>
          <w:sz w:val="24"/>
          <w:szCs w:val="24"/>
        </w:rPr>
        <w:t xml:space="preserve">epidemiology </w:t>
      </w:r>
      <w:r w:rsidRPr="009A03AE">
        <w:rPr>
          <w:rFonts w:ascii="Times New Roman" w:hAnsi="Times New Roman" w:cs="Times New Roman"/>
          <w:sz w:val="24"/>
          <w:szCs w:val="24"/>
        </w:rPr>
        <w:t>model</w:t>
      </w:r>
      <w:r w:rsidR="00DD7CAA" w:rsidRPr="009A03AE">
        <w:rPr>
          <w:rFonts w:ascii="Times New Roman" w:hAnsi="Times New Roman" w:cs="Times New Roman"/>
          <w:sz w:val="24"/>
          <w:szCs w:val="24"/>
        </w:rPr>
        <w:t>, [1]</w:t>
      </w:r>
      <w:r w:rsidRPr="009A03AE">
        <w:rPr>
          <w:rFonts w:ascii="Times New Roman" w:hAnsi="Times New Roman" w:cs="Times New Roman"/>
          <w:sz w:val="24"/>
          <w:szCs w:val="24"/>
        </w:rPr>
        <w:t xml:space="preserve"> </w:t>
      </w:r>
      <w:r w:rsidR="00C17642" w:rsidRPr="009A03AE">
        <w:rPr>
          <w:rFonts w:ascii="Times New Roman" w:hAnsi="Times New Roman" w:cs="Times New Roman"/>
          <w:sz w:val="24"/>
          <w:szCs w:val="24"/>
        </w:rPr>
        <w:t>we projected the peak hospital/</w:t>
      </w:r>
      <w:r w:rsidR="008A5CCB" w:rsidRPr="009A03AE">
        <w:t xml:space="preserve"> </w:t>
      </w:r>
      <w:r w:rsidR="008A5CCB" w:rsidRPr="009A03AE">
        <w:rPr>
          <w:rFonts w:ascii="Times New Roman" w:hAnsi="Times New Roman" w:cs="Times New Roman"/>
          <w:sz w:val="24"/>
          <w:szCs w:val="24"/>
        </w:rPr>
        <w:t>intensive care unit (</w:t>
      </w:r>
      <w:r w:rsidR="00C17642" w:rsidRPr="009A03AE">
        <w:rPr>
          <w:rFonts w:ascii="Times New Roman" w:hAnsi="Times New Roman" w:cs="Times New Roman"/>
          <w:sz w:val="24"/>
          <w:szCs w:val="24"/>
        </w:rPr>
        <w:t>ICU</w:t>
      </w:r>
      <w:r w:rsidR="008A5CCB" w:rsidRPr="009A03AE">
        <w:rPr>
          <w:rFonts w:ascii="Times New Roman" w:hAnsi="Times New Roman" w:cs="Times New Roman"/>
          <w:sz w:val="24"/>
          <w:szCs w:val="24"/>
        </w:rPr>
        <w:t>)</w:t>
      </w:r>
      <w:r w:rsidR="00C17642" w:rsidRPr="009A03AE">
        <w:rPr>
          <w:rFonts w:ascii="Times New Roman" w:hAnsi="Times New Roman" w:cs="Times New Roman"/>
          <w:sz w:val="24"/>
          <w:szCs w:val="24"/>
        </w:rPr>
        <w:t xml:space="preserve"> beds based on hospital/ICU prevalence and </w:t>
      </w:r>
      <w:r w:rsidR="00BA7405" w:rsidRPr="009A03AE">
        <w:rPr>
          <w:rFonts w:ascii="Times New Roman" w:hAnsi="Times New Roman" w:cs="Times New Roman"/>
          <w:sz w:val="24"/>
          <w:szCs w:val="24"/>
        </w:rPr>
        <w:t xml:space="preserve">the </w:t>
      </w:r>
      <w:r w:rsidR="00C17642" w:rsidRPr="009A03AE">
        <w:rPr>
          <w:rFonts w:ascii="Times New Roman" w:hAnsi="Times New Roman" w:cs="Times New Roman"/>
          <w:sz w:val="24"/>
          <w:szCs w:val="24"/>
        </w:rPr>
        <w:t xml:space="preserve">number of people requiring hospital/ICU admissions based on hospital/ICU incidence </w:t>
      </w:r>
      <w:r w:rsidR="00426941" w:rsidRPr="009A03AE">
        <w:rPr>
          <w:rFonts w:ascii="Times New Roman" w:hAnsi="Times New Roman" w:cs="Times New Roman"/>
          <w:sz w:val="24"/>
          <w:szCs w:val="24"/>
        </w:rPr>
        <w:t xml:space="preserve">by respective scenarios: (i) status quo, (ii) administering molnupiravir to all adults symptomatic patients, (iii) administering Nirmatrelvir/Ritonavir to all adults symptomatic patients </w:t>
      </w:r>
      <w:r w:rsidR="00C17642" w:rsidRPr="009A03AE">
        <w:rPr>
          <w:rFonts w:ascii="Times New Roman" w:hAnsi="Times New Roman" w:cs="Times New Roman"/>
          <w:sz w:val="24"/>
          <w:szCs w:val="24"/>
        </w:rPr>
        <w:t xml:space="preserve">between January and December 2022 in </w:t>
      </w:r>
      <w:r w:rsidR="00764F04" w:rsidRPr="009A03AE"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="00C17642" w:rsidRPr="009A03AE">
        <w:rPr>
          <w:rFonts w:ascii="Times New Roman" w:hAnsi="Times New Roman" w:cs="Times New Roman"/>
          <w:sz w:val="24"/>
          <w:szCs w:val="24"/>
        </w:rPr>
        <w:t>Korea.</w:t>
      </w:r>
      <w:r w:rsidR="00764F04" w:rsidRPr="009A03AE">
        <w:rPr>
          <w:rFonts w:ascii="Times New Roman" w:hAnsi="Times New Roman" w:cs="Times New Roman"/>
          <w:sz w:val="24"/>
          <w:szCs w:val="24"/>
        </w:rPr>
        <w:t xml:space="preserve"> </w:t>
      </w:r>
      <w:r w:rsidR="00426941" w:rsidRPr="009A03AE">
        <w:rPr>
          <w:rFonts w:ascii="Times New Roman" w:hAnsi="Times New Roman" w:cs="Times New Roman"/>
          <w:sz w:val="24"/>
          <w:szCs w:val="24"/>
        </w:rPr>
        <w:t xml:space="preserve">We assumed using treatment (Molnupiravir or Nirmatrelvir/Ritonavir) may reduce </w:t>
      </w:r>
      <w:r w:rsidR="007B12F5" w:rsidRPr="009A03AE">
        <w:rPr>
          <w:rFonts w:ascii="Times New Roman" w:hAnsi="Times New Roman" w:cs="Times New Roman"/>
          <w:sz w:val="24"/>
          <w:szCs w:val="24"/>
        </w:rPr>
        <w:t xml:space="preserve">the </w:t>
      </w:r>
      <w:r w:rsidR="00426941" w:rsidRPr="009A03AE">
        <w:rPr>
          <w:rFonts w:ascii="Times New Roman" w:hAnsi="Times New Roman" w:cs="Times New Roman"/>
          <w:sz w:val="24"/>
          <w:szCs w:val="24"/>
        </w:rPr>
        <w:t xml:space="preserve">admission rate of the specific target group by molnupiravir (30% efficacy) or nirmatrelvir/ritonavir (87% efficacy) compared to standard care. We also assumed these treatments reduce recovery time 4 days in hospital/ICU (from average 13 to 9 days) and thus allow more patients to be admitted during the </w:t>
      </w:r>
      <w:r w:rsidR="007B12F5" w:rsidRPr="009A03AE">
        <w:rPr>
          <w:rFonts w:ascii="Times New Roman" w:hAnsi="Times New Roman" w:cs="Times New Roman"/>
          <w:sz w:val="24"/>
          <w:szCs w:val="24"/>
        </w:rPr>
        <w:t>months of</w:t>
      </w:r>
      <w:r w:rsidR="00426941" w:rsidRPr="009A03AE">
        <w:rPr>
          <w:rFonts w:ascii="Times New Roman" w:hAnsi="Times New Roman" w:cs="Times New Roman"/>
          <w:sz w:val="24"/>
          <w:szCs w:val="24"/>
        </w:rPr>
        <w:t xml:space="preserve"> hospital/ICU capacity are breached. </w:t>
      </w:r>
      <w:r w:rsidRPr="009A03AE">
        <w:rPr>
          <w:rFonts w:ascii="Times New Roman" w:hAnsi="Times New Roman" w:cs="Times New Roman"/>
          <w:sz w:val="24"/>
          <w:szCs w:val="24"/>
        </w:rPr>
        <w:t>We used peak</w:t>
      </w:r>
      <w:r w:rsidR="00764F04" w:rsidRPr="009A03AE">
        <w:rPr>
          <w:rFonts w:ascii="Times New Roman" w:hAnsi="Times New Roman" w:cs="Times New Roman"/>
          <w:sz w:val="24"/>
          <w:szCs w:val="24"/>
        </w:rPr>
        <w:t xml:space="preserve"> hospital/</w:t>
      </w:r>
      <w:r w:rsidRPr="009A03AE">
        <w:rPr>
          <w:rFonts w:ascii="Times New Roman" w:hAnsi="Times New Roman" w:cs="Times New Roman"/>
          <w:sz w:val="24"/>
          <w:szCs w:val="24"/>
        </w:rPr>
        <w:t>ICU beds (by mont</w:t>
      </w:r>
      <w:r w:rsidR="00764F04" w:rsidRPr="009A03AE">
        <w:rPr>
          <w:rFonts w:ascii="Times New Roman" w:hAnsi="Times New Roman" w:cs="Times New Roman"/>
          <w:sz w:val="24"/>
          <w:szCs w:val="24"/>
        </w:rPr>
        <w:t>h</w:t>
      </w:r>
      <w:r w:rsidRPr="009A03AE">
        <w:rPr>
          <w:rFonts w:ascii="Times New Roman" w:hAnsi="Times New Roman" w:cs="Times New Roman"/>
          <w:sz w:val="24"/>
          <w:szCs w:val="24"/>
        </w:rPr>
        <w:t>) estimates to identify peak capacity months (“1” if</w:t>
      </w:r>
      <w:r w:rsidR="00764F04" w:rsidRPr="009A03AE">
        <w:rPr>
          <w:rFonts w:ascii="Times New Roman" w:hAnsi="Times New Roman" w:cs="Times New Roman"/>
          <w:sz w:val="24"/>
          <w:szCs w:val="24"/>
        </w:rPr>
        <w:t xml:space="preserve"> hospital/</w:t>
      </w:r>
      <w:r w:rsidRPr="009A03AE">
        <w:rPr>
          <w:rFonts w:ascii="Times New Roman" w:hAnsi="Times New Roman" w:cs="Times New Roman"/>
          <w:sz w:val="24"/>
          <w:szCs w:val="24"/>
        </w:rPr>
        <w:t xml:space="preserve">ICU capacity is breached; “0” if </w:t>
      </w:r>
      <w:r w:rsidR="00764F04" w:rsidRPr="009A03AE">
        <w:rPr>
          <w:rFonts w:ascii="Times New Roman" w:hAnsi="Times New Roman" w:cs="Times New Roman"/>
          <w:sz w:val="24"/>
          <w:szCs w:val="24"/>
        </w:rPr>
        <w:t>hospital/ICU</w:t>
      </w:r>
      <w:r w:rsidRPr="009A03AE">
        <w:rPr>
          <w:rFonts w:ascii="Times New Roman" w:hAnsi="Times New Roman" w:cs="Times New Roman"/>
          <w:sz w:val="24"/>
          <w:szCs w:val="24"/>
        </w:rPr>
        <w:t xml:space="preserve"> capacity is not breached). We then used the peak capacity months and </w:t>
      </w:r>
      <w:r w:rsidR="007B12F5" w:rsidRPr="009A03AE">
        <w:rPr>
          <w:rFonts w:ascii="Times New Roman" w:hAnsi="Times New Roman" w:cs="Times New Roman"/>
          <w:sz w:val="24"/>
          <w:szCs w:val="24"/>
        </w:rPr>
        <w:t xml:space="preserve">the </w:t>
      </w:r>
      <w:r w:rsidRPr="009A03AE">
        <w:rPr>
          <w:rFonts w:ascii="Times New Roman" w:hAnsi="Times New Roman" w:cs="Times New Roman"/>
          <w:sz w:val="24"/>
          <w:szCs w:val="24"/>
        </w:rPr>
        <w:t xml:space="preserve">total </w:t>
      </w:r>
      <w:r w:rsidR="00EF2B9E" w:rsidRPr="009A03AE">
        <w:rPr>
          <w:rFonts w:ascii="Times New Roman" w:hAnsi="Times New Roman" w:cs="Times New Roman"/>
          <w:sz w:val="24"/>
          <w:szCs w:val="24"/>
        </w:rPr>
        <w:t xml:space="preserve">number of people requiring hospital/ICU admissions </w:t>
      </w:r>
      <w:r w:rsidRPr="009A03AE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7B12F5" w:rsidRPr="009A03AE">
        <w:rPr>
          <w:rFonts w:ascii="Times New Roman" w:hAnsi="Times New Roman" w:cs="Times New Roman"/>
          <w:sz w:val="24"/>
          <w:szCs w:val="24"/>
        </w:rPr>
        <w:t xml:space="preserve">the </w:t>
      </w:r>
      <w:r w:rsidR="00EF2B9E" w:rsidRPr="009A03AE">
        <w:rPr>
          <w:rFonts w:ascii="Times New Roman" w:hAnsi="Times New Roman" w:cs="Times New Roman"/>
          <w:sz w:val="24"/>
          <w:szCs w:val="24"/>
        </w:rPr>
        <w:t xml:space="preserve">total number of hospital/ICU admissions </w:t>
      </w:r>
      <w:r w:rsidRPr="009A03AE">
        <w:rPr>
          <w:rFonts w:ascii="Times New Roman" w:hAnsi="Times New Roman" w:cs="Times New Roman"/>
          <w:sz w:val="24"/>
          <w:szCs w:val="24"/>
        </w:rPr>
        <w:t xml:space="preserve">during peak months and non-peak months (same as the original estimate of </w:t>
      </w:r>
      <w:r w:rsidR="00EF2B9E" w:rsidRPr="009A03AE">
        <w:rPr>
          <w:rFonts w:ascii="Times New Roman" w:hAnsi="Times New Roman" w:cs="Times New Roman"/>
          <w:sz w:val="24"/>
          <w:szCs w:val="24"/>
        </w:rPr>
        <w:t>number of people requiring hospital/ICU admissions</w:t>
      </w:r>
      <w:r w:rsidRPr="009A03AE">
        <w:rPr>
          <w:rFonts w:ascii="Times New Roman" w:hAnsi="Times New Roman" w:cs="Times New Roman"/>
          <w:sz w:val="24"/>
          <w:szCs w:val="24"/>
        </w:rPr>
        <w:t xml:space="preserve">). </w:t>
      </w:r>
      <w:bookmarkEnd w:id="1"/>
    </w:p>
    <w:p w14:paraId="0A050011" w14:textId="77777777" w:rsidR="00EF2B9E" w:rsidRPr="009A03AE" w:rsidRDefault="00EF2B9E" w:rsidP="00ED3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A1988" w14:textId="2BBFA6FB" w:rsidR="00ED3B1D" w:rsidRPr="009A03AE" w:rsidRDefault="00ED3B1D" w:rsidP="00ED3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b/>
          <w:bCs/>
          <w:sz w:val="24"/>
          <w:szCs w:val="24"/>
        </w:rPr>
        <w:t>Health outcomes</w:t>
      </w:r>
      <w:r w:rsidR="000422BF" w:rsidRPr="009A03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03AE">
        <w:rPr>
          <w:rFonts w:ascii="Times New Roman" w:hAnsi="Times New Roman" w:cs="Times New Roman"/>
          <w:sz w:val="24"/>
          <w:szCs w:val="24"/>
        </w:rPr>
        <w:t xml:space="preserve">We estimated </w:t>
      </w:r>
      <w:r w:rsidR="003F5FD1" w:rsidRPr="009A03AE">
        <w:rPr>
          <w:rFonts w:ascii="Times New Roman" w:hAnsi="Times New Roman" w:cs="Times New Roman"/>
          <w:sz w:val="24"/>
          <w:szCs w:val="24"/>
        </w:rPr>
        <w:t xml:space="preserve">number of severe patients averted and number of </w:t>
      </w:r>
      <w:r w:rsidR="00286F85" w:rsidRPr="009A03AE">
        <w:rPr>
          <w:rFonts w:ascii="Times New Roman" w:hAnsi="Times New Roman" w:cs="Times New Roman"/>
          <w:sz w:val="24"/>
          <w:szCs w:val="24"/>
        </w:rPr>
        <w:t xml:space="preserve">net </w:t>
      </w:r>
      <w:r w:rsidR="003F5FD1" w:rsidRPr="009A03AE">
        <w:rPr>
          <w:rFonts w:ascii="Times New Roman" w:hAnsi="Times New Roman" w:cs="Times New Roman"/>
          <w:sz w:val="24"/>
          <w:szCs w:val="24"/>
        </w:rPr>
        <w:t xml:space="preserve">admission </w:t>
      </w:r>
      <w:r w:rsidR="00286F85" w:rsidRPr="009A03AE">
        <w:rPr>
          <w:rFonts w:ascii="Times New Roman" w:hAnsi="Times New Roman" w:cs="Times New Roman"/>
          <w:sz w:val="24"/>
          <w:szCs w:val="24"/>
        </w:rPr>
        <w:t xml:space="preserve">allowed/averted by each treatment strategy to respective target group relative to the standard care in </w:t>
      </w:r>
      <w:r w:rsidR="00435AF5" w:rsidRPr="009A03AE">
        <w:rPr>
          <w:rFonts w:ascii="Times New Roman" w:hAnsi="Times New Roman" w:cs="Times New Roman"/>
          <w:sz w:val="24"/>
          <w:szCs w:val="24"/>
        </w:rPr>
        <w:t xml:space="preserve">three aspects: 1) </w:t>
      </w:r>
      <w:r w:rsidR="00124753" w:rsidRPr="009A03A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435AF5" w:rsidRPr="009A03AE">
        <w:rPr>
          <w:rFonts w:ascii="Times New Roman" w:hAnsi="Times New Roman" w:cs="Times New Roman"/>
          <w:sz w:val="24"/>
          <w:szCs w:val="24"/>
        </w:rPr>
        <w:t xml:space="preserve">severe patients averted by treatment efficacy to reduce severity rate (30% for Molnupiravir and 87% for Nirmatrelvir/Ritonavir) relative to standard care; 2) number of admission averted by treatment efficacy </w:t>
      </w:r>
      <w:r w:rsidR="0036650E" w:rsidRPr="009A03AE">
        <w:rPr>
          <w:rFonts w:ascii="Times New Roman" w:hAnsi="Times New Roman" w:cs="Times New Roman"/>
          <w:sz w:val="24"/>
          <w:szCs w:val="24"/>
        </w:rPr>
        <w:t xml:space="preserve">reduce severity rate (30% for Molnupiravir and 87% for Nirmatrelvir/Ritonavir) </w:t>
      </w:r>
      <w:r w:rsidR="00435AF5" w:rsidRPr="009A03AE">
        <w:rPr>
          <w:rFonts w:ascii="Times New Roman" w:hAnsi="Times New Roman" w:cs="Times New Roman"/>
          <w:sz w:val="24"/>
          <w:szCs w:val="24"/>
        </w:rPr>
        <w:t xml:space="preserve">relative to standard care; </w:t>
      </w:r>
      <w:r w:rsidR="0036650E" w:rsidRPr="009A03AE">
        <w:rPr>
          <w:rFonts w:ascii="Times New Roman" w:hAnsi="Times New Roman" w:cs="Times New Roman"/>
          <w:sz w:val="24"/>
          <w:szCs w:val="24"/>
        </w:rPr>
        <w:t xml:space="preserve">and </w:t>
      </w:r>
      <w:r w:rsidR="00435AF5" w:rsidRPr="009A03AE">
        <w:rPr>
          <w:rFonts w:ascii="Times New Roman" w:hAnsi="Times New Roman" w:cs="Times New Roman"/>
          <w:sz w:val="24"/>
          <w:szCs w:val="24"/>
        </w:rPr>
        <w:t>3) number of admission allowed by treatment efficacy to reduce recovery time in hospital/ICU relative to standard care</w:t>
      </w:r>
      <w:r w:rsidR="0036650E" w:rsidRPr="009A03AE">
        <w:rPr>
          <w:rFonts w:ascii="Times New Roman" w:hAnsi="Times New Roman" w:cs="Times New Roman"/>
          <w:sz w:val="24"/>
          <w:szCs w:val="24"/>
        </w:rPr>
        <w:t xml:space="preserve">. </w:t>
      </w:r>
      <w:r w:rsidR="002C196F" w:rsidRPr="009A03AE">
        <w:rPr>
          <w:rFonts w:ascii="Times New Roman" w:hAnsi="Times New Roman" w:cs="Times New Roman"/>
          <w:sz w:val="24"/>
          <w:szCs w:val="24"/>
        </w:rPr>
        <w:t xml:space="preserve">The month of hospital/ICU capacity </w:t>
      </w:r>
      <w:r w:rsidR="005E40DF" w:rsidRPr="009A03AE">
        <w:rPr>
          <w:rFonts w:ascii="Times New Roman" w:hAnsi="Times New Roman" w:cs="Times New Roman"/>
          <w:sz w:val="24"/>
          <w:szCs w:val="24"/>
        </w:rPr>
        <w:t>is</w:t>
      </w:r>
      <w:r w:rsidR="002C196F" w:rsidRPr="009A03AE">
        <w:rPr>
          <w:rFonts w:ascii="Times New Roman" w:hAnsi="Times New Roman" w:cs="Times New Roman"/>
          <w:sz w:val="24"/>
          <w:szCs w:val="24"/>
        </w:rPr>
        <w:t xml:space="preserve"> breached is determined by the peak of the hospital/ICU prevalence of each month and the number of hospital beds (25000) and ICU beds (1500) respectively. </w:t>
      </w:r>
    </w:p>
    <w:p w14:paraId="66025D48" w14:textId="32DE5A8F" w:rsidR="00ED3B1D" w:rsidRPr="009A03AE" w:rsidRDefault="00ED3B1D" w:rsidP="00ED3B1D">
      <w:pPr>
        <w:pStyle w:val="a4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 xml:space="preserve">First, </w:t>
      </w:r>
      <w:r w:rsidR="005E40DF" w:rsidRPr="009A03AE">
        <w:rPr>
          <w:rFonts w:ascii="Times New Roman" w:hAnsi="Times New Roman" w:cs="Times New Roman"/>
          <w:sz w:val="24"/>
          <w:szCs w:val="24"/>
        </w:rPr>
        <w:t xml:space="preserve">the </w:t>
      </w:r>
      <w:r w:rsidR="00124753" w:rsidRPr="009A03AE">
        <w:rPr>
          <w:rFonts w:ascii="Times New Roman" w:hAnsi="Times New Roman" w:cs="Times New Roman"/>
          <w:sz w:val="24"/>
          <w:szCs w:val="24"/>
        </w:rPr>
        <w:t xml:space="preserve">number of severe patients averted </w:t>
      </w:r>
      <w:r w:rsidR="00B67128" w:rsidRPr="009A03AE">
        <w:rPr>
          <w:rFonts w:ascii="Times New Roman" w:hAnsi="Times New Roman" w:cs="Times New Roman"/>
          <w:sz w:val="24"/>
          <w:szCs w:val="24"/>
        </w:rPr>
        <w:t xml:space="preserve">in all months </w:t>
      </w:r>
      <w:r w:rsidRPr="009A03AE">
        <w:rPr>
          <w:rFonts w:ascii="Times New Roman" w:hAnsi="Times New Roman" w:cs="Times New Roman"/>
          <w:sz w:val="24"/>
          <w:szCs w:val="24"/>
        </w:rPr>
        <w:t>was calculated by “</w:t>
      </w:r>
      <w:r w:rsidR="00070403" w:rsidRPr="009A03AE">
        <w:rPr>
          <w:rFonts w:ascii="Times New Roman" w:hAnsi="Times New Roman" w:cs="Times New Roman"/>
          <w:sz w:val="24"/>
          <w:szCs w:val="24"/>
        </w:rPr>
        <w:t>Number of people who need hospital</w:t>
      </w:r>
      <w:r w:rsidR="000A5651" w:rsidRPr="009A03AE">
        <w:rPr>
          <w:rFonts w:ascii="Times New Roman" w:hAnsi="Times New Roman" w:cs="Times New Roman"/>
          <w:sz w:val="24"/>
          <w:szCs w:val="24"/>
        </w:rPr>
        <w:t>/ICU</w:t>
      </w:r>
      <w:r w:rsidR="00070403" w:rsidRPr="009A03AE">
        <w:rPr>
          <w:rFonts w:ascii="Times New Roman" w:hAnsi="Times New Roman" w:cs="Times New Roman"/>
          <w:sz w:val="24"/>
          <w:szCs w:val="24"/>
        </w:rPr>
        <w:t xml:space="preserve"> admission </w:t>
      </w:r>
      <w:r w:rsidR="005E40DF" w:rsidRPr="009A03AE">
        <w:rPr>
          <w:rFonts w:ascii="Times New Roman" w:hAnsi="Times New Roman" w:cs="Times New Roman"/>
          <w:sz w:val="24"/>
          <w:szCs w:val="24"/>
        </w:rPr>
        <w:t xml:space="preserve">at </w:t>
      </w:r>
      <w:r w:rsidR="00070403" w:rsidRPr="009A03AE">
        <w:rPr>
          <w:rFonts w:ascii="Times New Roman" w:hAnsi="Times New Roman" w:cs="Times New Roman"/>
          <w:sz w:val="24"/>
          <w:szCs w:val="24"/>
        </w:rPr>
        <w:t>status quo</w:t>
      </w:r>
      <w:r w:rsidRPr="009A03AE">
        <w:rPr>
          <w:rFonts w:ascii="Times New Roman" w:hAnsi="Times New Roman" w:cs="Times New Roman"/>
          <w:sz w:val="24"/>
          <w:szCs w:val="24"/>
        </w:rPr>
        <w:t>” subtracted by “</w:t>
      </w:r>
      <w:r w:rsidR="00070403" w:rsidRPr="009A03AE">
        <w:rPr>
          <w:rFonts w:ascii="Times New Roman" w:hAnsi="Times New Roman" w:cs="Times New Roman"/>
          <w:sz w:val="24"/>
          <w:szCs w:val="24"/>
        </w:rPr>
        <w:t>Number of people who need hospital</w:t>
      </w:r>
      <w:r w:rsidR="000A5651" w:rsidRPr="009A03AE">
        <w:rPr>
          <w:rFonts w:ascii="Times New Roman" w:hAnsi="Times New Roman" w:cs="Times New Roman"/>
          <w:sz w:val="24"/>
          <w:szCs w:val="24"/>
        </w:rPr>
        <w:t>/ICU</w:t>
      </w:r>
      <w:r w:rsidR="00070403" w:rsidRPr="009A03AE">
        <w:rPr>
          <w:rFonts w:ascii="Times New Roman" w:hAnsi="Times New Roman" w:cs="Times New Roman"/>
          <w:sz w:val="24"/>
          <w:szCs w:val="24"/>
        </w:rPr>
        <w:t xml:space="preserve"> admission</w:t>
      </w:r>
      <w:r w:rsidR="000A5651" w:rsidRPr="009A03AE">
        <w:rPr>
          <w:rFonts w:ascii="Times New Roman" w:hAnsi="Times New Roman" w:cs="Times New Roman"/>
          <w:sz w:val="24"/>
          <w:szCs w:val="24"/>
        </w:rPr>
        <w:t xml:space="preserve"> with treatment</w:t>
      </w:r>
      <w:r w:rsidRPr="009A03AE">
        <w:rPr>
          <w:rFonts w:ascii="Times New Roman" w:hAnsi="Times New Roman" w:cs="Times New Roman"/>
          <w:sz w:val="24"/>
          <w:szCs w:val="24"/>
        </w:rPr>
        <w:t>”</w:t>
      </w:r>
      <w:r w:rsidR="00B67128" w:rsidRPr="009A03AE">
        <w:rPr>
          <w:rFonts w:ascii="Times New Roman" w:hAnsi="Times New Roman" w:cs="Times New Roman"/>
          <w:sz w:val="24"/>
          <w:szCs w:val="24"/>
        </w:rPr>
        <w:t xml:space="preserve"> regardless of the capacity limit</w:t>
      </w:r>
      <w:r w:rsidRPr="009A03AE">
        <w:rPr>
          <w:rFonts w:ascii="Times New Roman" w:hAnsi="Times New Roman" w:cs="Times New Roman"/>
          <w:sz w:val="24"/>
          <w:szCs w:val="24"/>
        </w:rPr>
        <w:t>.</w:t>
      </w:r>
    </w:p>
    <w:p w14:paraId="4F1C3E19" w14:textId="7C82CBA3" w:rsidR="000422BF" w:rsidRPr="009A03AE" w:rsidRDefault="00B67128" w:rsidP="00B67128">
      <w:pPr>
        <w:pStyle w:val="a4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 xml:space="preserve">Similarly, the number of admission averted when capacity is not breached was calculated by </w:t>
      </w:r>
      <w:r w:rsidR="00383B2A" w:rsidRPr="009A03AE">
        <w:rPr>
          <w:rFonts w:ascii="Times New Roman" w:hAnsi="Times New Roman" w:cs="Times New Roman"/>
          <w:sz w:val="24"/>
          <w:szCs w:val="24"/>
        </w:rPr>
        <w:t xml:space="preserve">the </w:t>
      </w:r>
      <w:r w:rsidRPr="009A03AE">
        <w:rPr>
          <w:rFonts w:ascii="Times New Roman" w:hAnsi="Times New Roman" w:cs="Times New Roman"/>
          <w:sz w:val="24"/>
          <w:szCs w:val="24"/>
        </w:rPr>
        <w:t>number of total admission</w:t>
      </w:r>
      <w:r w:rsidR="000422BF" w:rsidRPr="009A03AE">
        <w:rPr>
          <w:rFonts w:ascii="Times New Roman" w:hAnsi="Times New Roman" w:cs="Times New Roman"/>
          <w:sz w:val="24"/>
          <w:szCs w:val="24"/>
        </w:rPr>
        <w:t xml:space="preserve"> </w:t>
      </w:r>
      <w:r w:rsidRPr="009A03AE">
        <w:rPr>
          <w:rFonts w:ascii="Times New Roman" w:hAnsi="Times New Roman" w:cs="Times New Roman"/>
          <w:sz w:val="24"/>
          <w:szCs w:val="24"/>
        </w:rPr>
        <w:t xml:space="preserve">at status quo subtracted number of total admission with treatment. </w:t>
      </w:r>
      <w:r w:rsidR="000422BF" w:rsidRPr="009A03AE">
        <w:rPr>
          <w:rFonts w:ascii="Times New Roman" w:hAnsi="Times New Roman" w:cs="Times New Roman"/>
          <w:sz w:val="24"/>
          <w:szCs w:val="24"/>
        </w:rPr>
        <w:t>Total number of admission is as same as number of people who need hospital/ICU admission when hospital/ICU capacity is not breached but total number of admission is different (as described below) when hospital/ICU capacity is breached.</w:t>
      </w:r>
    </w:p>
    <w:p w14:paraId="1475DAC7" w14:textId="650FCCB0" w:rsidR="00B67128" w:rsidRPr="009A03AE" w:rsidRDefault="00B67128" w:rsidP="00B67128">
      <w:pPr>
        <w:pStyle w:val="a4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 xml:space="preserve">Finally, the number of admission allowed when capacity is breached was calculated by a number of total admission at status quo subtracted </w:t>
      </w:r>
      <w:r w:rsidR="007B12F5" w:rsidRPr="009A03AE">
        <w:rPr>
          <w:rFonts w:ascii="Times New Roman" w:hAnsi="Times New Roman" w:cs="Times New Roman"/>
          <w:sz w:val="24"/>
          <w:szCs w:val="24"/>
        </w:rPr>
        <w:t xml:space="preserve">the </w:t>
      </w:r>
      <w:r w:rsidRPr="009A03AE">
        <w:rPr>
          <w:rFonts w:ascii="Times New Roman" w:hAnsi="Times New Roman" w:cs="Times New Roman"/>
          <w:sz w:val="24"/>
          <w:szCs w:val="24"/>
        </w:rPr>
        <w:t>number of total admission with treatment. (i) number of total admission at status quo is calculated by the maximum number of people treated if the average number of hospital/ICU days is in a month (13 days with standard care) multiplied by the number of months that capacity is breached; (ii) number of total admission at status quo is calculated by the maximum number of people treated if the average number of hospital/ICU days is in a month (9 days with treatment) multiplied by the number of months that capacity is breached</w:t>
      </w:r>
      <w:r w:rsidR="007B12F5" w:rsidRPr="009A03AE">
        <w:rPr>
          <w:rFonts w:ascii="Times New Roman" w:hAnsi="Times New Roman" w:cs="Times New Roman"/>
          <w:sz w:val="24"/>
          <w:szCs w:val="24"/>
        </w:rPr>
        <w:t>.</w:t>
      </w:r>
    </w:p>
    <w:p w14:paraId="66FBF200" w14:textId="77777777" w:rsidR="00ED3B1D" w:rsidRPr="009A03AE" w:rsidRDefault="00ED3B1D" w:rsidP="00ED3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96243" w14:textId="08B4F9E7" w:rsidR="000422BF" w:rsidRPr="009A03AE" w:rsidRDefault="00ED3B1D" w:rsidP="00ED3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b/>
          <w:bCs/>
          <w:sz w:val="24"/>
          <w:szCs w:val="24"/>
        </w:rPr>
        <w:t>Costs:</w:t>
      </w:r>
      <w:r w:rsidR="000422BF" w:rsidRPr="009A0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94106407"/>
      <w:r w:rsidRPr="009A03AE">
        <w:rPr>
          <w:rFonts w:ascii="Times New Roman" w:hAnsi="Times New Roman" w:cs="Times New Roman"/>
          <w:sz w:val="24"/>
          <w:szCs w:val="24"/>
        </w:rPr>
        <w:t xml:space="preserve">We estimated costs in three aspects: 1) Health system costs for </w:t>
      </w:r>
      <w:r w:rsidR="0028703F" w:rsidRPr="009A03AE">
        <w:rPr>
          <w:rFonts w:ascii="Times New Roman" w:hAnsi="Times New Roman" w:cs="Times New Roman"/>
          <w:sz w:val="24"/>
          <w:szCs w:val="24"/>
        </w:rPr>
        <w:t xml:space="preserve">the </w:t>
      </w:r>
      <w:r w:rsidRPr="009A03AE">
        <w:rPr>
          <w:rFonts w:ascii="Times New Roman" w:hAnsi="Times New Roman" w:cs="Times New Roman"/>
          <w:sz w:val="24"/>
          <w:szCs w:val="24"/>
        </w:rPr>
        <w:t xml:space="preserve">months with </w:t>
      </w:r>
      <w:r w:rsidR="0028703F" w:rsidRPr="009A03AE">
        <w:rPr>
          <w:rFonts w:ascii="Times New Roman" w:hAnsi="Times New Roman" w:cs="Times New Roman"/>
          <w:sz w:val="24"/>
          <w:szCs w:val="24"/>
        </w:rPr>
        <w:t>treatment</w:t>
      </w:r>
      <w:r w:rsidRPr="009A03AE">
        <w:rPr>
          <w:rFonts w:ascii="Times New Roman" w:hAnsi="Times New Roman" w:cs="Times New Roman"/>
          <w:sz w:val="24"/>
          <w:szCs w:val="24"/>
        </w:rPr>
        <w:t xml:space="preserve"> in peak months and non-peak month</w:t>
      </w:r>
      <w:r w:rsidR="0028703F" w:rsidRPr="009A03AE">
        <w:rPr>
          <w:rFonts w:ascii="Times New Roman" w:hAnsi="Times New Roman" w:cs="Times New Roman"/>
          <w:sz w:val="24"/>
          <w:szCs w:val="24"/>
        </w:rPr>
        <w:t>s</w:t>
      </w:r>
      <w:r w:rsidRPr="009A03AE">
        <w:rPr>
          <w:rFonts w:ascii="Times New Roman" w:hAnsi="Times New Roman" w:cs="Times New Roman"/>
          <w:sz w:val="24"/>
          <w:szCs w:val="24"/>
        </w:rPr>
        <w:t xml:space="preserve">; 2) Health system costs for </w:t>
      </w:r>
      <w:r w:rsidR="0028703F" w:rsidRPr="009A03AE">
        <w:rPr>
          <w:rFonts w:ascii="Times New Roman" w:hAnsi="Times New Roman" w:cs="Times New Roman"/>
          <w:sz w:val="24"/>
          <w:szCs w:val="24"/>
        </w:rPr>
        <w:t>the</w:t>
      </w:r>
      <w:r w:rsidRPr="009A03AE">
        <w:rPr>
          <w:rFonts w:ascii="Times New Roman" w:hAnsi="Times New Roman" w:cs="Times New Roman"/>
          <w:sz w:val="24"/>
          <w:szCs w:val="24"/>
        </w:rPr>
        <w:t xml:space="preserve"> months </w:t>
      </w:r>
      <w:r w:rsidR="0028703F" w:rsidRPr="009A03AE">
        <w:rPr>
          <w:rFonts w:ascii="Times New Roman" w:hAnsi="Times New Roman" w:cs="Times New Roman"/>
          <w:sz w:val="24"/>
          <w:szCs w:val="24"/>
        </w:rPr>
        <w:t xml:space="preserve">without treatment (status quo) </w:t>
      </w:r>
      <w:r w:rsidRPr="009A03AE">
        <w:rPr>
          <w:rFonts w:ascii="Times New Roman" w:hAnsi="Times New Roman" w:cs="Times New Roman"/>
          <w:sz w:val="24"/>
          <w:szCs w:val="24"/>
        </w:rPr>
        <w:t xml:space="preserve">in peak months and non-peak months; 3) </w:t>
      </w:r>
      <w:r w:rsidR="0028703F" w:rsidRPr="009A03AE">
        <w:rPr>
          <w:rFonts w:ascii="Times New Roman" w:hAnsi="Times New Roman" w:cs="Times New Roman"/>
          <w:sz w:val="24"/>
          <w:szCs w:val="24"/>
        </w:rPr>
        <w:t>treatment</w:t>
      </w:r>
      <w:r w:rsidRPr="009A03AE">
        <w:rPr>
          <w:rFonts w:ascii="Times New Roman" w:hAnsi="Times New Roman" w:cs="Times New Roman"/>
          <w:sz w:val="24"/>
          <w:szCs w:val="24"/>
        </w:rPr>
        <w:t xml:space="preserve"> cost. </w:t>
      </w:r>
      <w:r w:rsidR="000422BF" w:rsidRPr="009A03AE">
        <w:rPr>
          <w:rFonts w:ascii="Times New Roman" w:hAnsi="Times New Roman" w:cs="Times New Roman"/>
          <w:sz w:val="24"/>
          <w:szCs w:val="24"/>
        </w:rPr>
        <w:t xml:space="preserve">During the peak months, health </w:t>
      </w:r>
      <w:r w:rsidR="000422BF" w:rsidRPr="009A03AE">
        <w:rPr>
          <w:rFonts w:ascii="Times New Roman" w:hAnsi="Times New Roman" w:cs="Times New Roman"/>
          <w:sz w:val="24"/>
          <w:szCs w:val="24"/>
        </w:rPr>
        <w:lastRenderedPageBreak/>
        <w:t>systems costs were calculated by the total number of admission (</w:t>
      </w:r>
      <w:bookmarkStart w:id="3" w:name="_Hlk97098610"/>
      <w:r w:rsidR="007B12F5" w:rsidRPr="009A03AE">
        <w:rPr>
          <w:rFonts w:ascii="Times New Roman" w:hAnsi="Times New Roman" w:cs="Times New Roman"/>
          <w:sz w:val="24"/>
          <w:szCs w:val="24"/>
        </w:rPr>
        <w:t>83,333 in hospital and 5</w:t>
      </w:r>
      <w:r w:rsidR="00B01FD9" w:rsidRPr="009A03AE">
        <w:rPr>
          <w:rFonts w:ascii="Times New Roman" w:hAnsi="Times New Roman" w:cs="Times New Roman"/>
          <w:sz w:val="24"/>
          <w:szCs w:val="24"/>
        </w:rPr>
        <w:t>,</w:t>
      </w:r>
      <w:r w:rsidR="007B12F5" w:rsidRPr="009A03AE">
        <w:rPr>
          <w:rFonts w:ascii="Times New Roman" w:hAnsi="Times New Roman" w:cs="Times New Roman"/>
          <w:sz w:val="24"/>
          <w:szCs w:val="24"/>
        </w:rPr>
        <w:t>000 in ICU per month with treatment due to recovery time benefit</w:t>
      </w:r>
      <w:bookmarkEnd w:id="3"/>
      <w:r w:rsidR="007B12F5" w:rsidRPr="009A03AE">
        <w:rPr>
          <w:rFonts w:ascii="Times New Roman" w:hAnsi="Times New Roman" w:cs="Times New Roman"/>
          <w:sz w:val="24"/>
          <w:szCs w:val="24"/>
        </w:rPr>
        <w:t xml:space="preserve">; </w:t>
      </w:r>
      <w:bookmarkStart w:id="4" w:name="_Hlk97098624"/>
      <w:r w:rsidR="007B12F5" w:rsidRPr="009A03AE">
        <w:rPr>
          <w:rFonts w:ascii="Times New Roman" w:hAnsi="Times New Roman" w:cs="Times New Roman"/>
          <w:sz w:val="24"/>
          <w:szCs w:val="24"/>
        </w:rPr>
        <w:t>57,692 in hospital and 3,462 in ICU per month without treatment</w:t>
      </w:r>
      <w:bookmarkEnd w:id="4"/>
      <w:r w:rsidR="000422BF" w:rsidRPr="009A03AE">
        <w:rPr>
          <w:rFonts w:ascii="Times New Roman" w:hAnsi="Times New Roman" w:cs="Times New Roman"/>
          <w:sz w:val="24"/>
          <w:szCs w:val="24"/>
        </w:rPr>
        <w:t>) multiplied by hospital/ICU cost per person; During the non-peak months, health systems costs were calculated by the total number of admission (</w:t>
      </w:r>
      <w:r w:rsidR="00331A7F" w:rsidRPr="009A03AE">
        <w:rPr>
          <w:rFonts w:ascii="Times New Roman" w:hAnsi="Times New Roman" w:cs="Times New Roman"/>
          <w:sz w:val="24"/>
          <w:szCs w:val="24"/>
        </w:rPr>
        <w:t xml:space="preserve">the </w:t>
      </w:r>
      <w:r w:rsidR="000422BF" w:rsidRPr="009A03AE">
        <w:rPr>
          <w:rFonts w:ascii="Times New Roman" w:hAnsi="Times New Roman" w:cs="Times New Roman"/>
          <w:sz w:val="24"/>
          <w:szCs w:val="24"/>
        </w:rPr>
        <w:t>number of people who need the hospital/ICU admission) multiplied by hospital/ICU cost per person.</w:t>
      </w:r>
    </w:p>
    <w:bookmarkEnd w:id="2"/>
    <w:p w14:paraId="290EE022" w14:textId="3AB9386A" w:rsidR="00350E38" w:rsidRPr="009A03AE" w:rsidRDefault="00350E38" w:rsidP="00ED3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61FF5" w14:textId="6D4F331C" w:rsidR="00350E38" w:rsidRPr="009A03AE" w:rsidRDefault="00350E38" w:rsidP="00350E38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>Model analytic approach is similar to other target groups (elderly patients and adult patients with underlying diseases).</w:t>
      </w:r>
    </w:p>
    <w:p w14:paraId="265BED54" w14:textId="77777777" w:rsidR="000422BF" w:rsidRPr="009A03AE" w:rsidRDefault="000422BF" w:rsidP="00ED3B1D">
      <w:pPr>
        <w:spacing w:after="0"/>
        <w:rPr>
          <w:rFonts w:ascii="Times New Roman" w:hAnsi="Times New Roman" w:cs="Times New Roman"/>
        </w:rPr>
      </w:pPr>
    </w:p>
    <w:p w14:paraId="2318A918" w14:textId="4107857C" w:rsidR="00ED3B1D" w:rsidRPr="009A03AE" w:rsidRDefault="004C76FC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noProof/>
        </w:rPr>
        <w:drawing>
          <wp:inline distT="0" distB="0" distL="0" distR="0" wp14:anchorId="3B79EEBB" wp14:editId="274A874B">
            <wp:extent cx="9144000" cy="4001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7593" w14:textId="77777777" w:rsidR="001525C0" w:rsidRPr="009A03AE" w:rsidRDefault="001525C0">
      <w:pPr>
        <w:rPr>
          <w:rFonts w:ascii="Times New Roman" w:hAnsi="Times New Roman" w:cs="Times New Roman"/>
          <w:sz w:val="24"/>
          <w:szCs w:val="24"/>
        </w:rPr>
      </w:pPr>
    </w:p>
    <w:p w14:paraId="0E5F00BF" w14:textId="77777777" w:rsidR="001525C0" w:rsidRPr="009A03AE" w:rsidRDefault="001525C0">
      <w:pPr>
        <w:rPr>
          <w:rFonts w:ascii="Times New Roman" w:hAnsi="Times New Roman" w:cs="Times New Roman"/>
          <w:sz w:val="24"/>
          <w:szCs w:val="24"/>
        </w:rPr>
      </w:pPr>
    </w:p>
    <w:p w14:paraId="08D9841B" w14:textId="77777777" w:rsidR="001525C0" w:rsidRPr="009A03AE" w:rsidRDefault="001525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390"/>
        <w:gridCol w:w="4299"/>
        <w:gridCol w:w="4410"/>
        <w:gridCol w:w="2790"/>
      </w:tblGrid>
      <w:tr w:rsidR="009A03AE" w:rsidRPr="009A03AE" w14:paraId="04B62453" w14:textId="77777777" w:rsidTr="00565592">
        <w:trPr>
          <w:trHeight w:val="49"/>
        </w:trPr>
        <w:tc>
          <w:tcPr>
            <w:tcW w:w="11605" w:type="dxa"/>
            <w:gridSpan w:val="4"/>
            <w:shd w:val="clear" w:color="000000" w:fill="0070C0"/>
            <w:noWrap/>
            <w:vAlign w:val="bottom"/>
            <w:hideMark/>
          </w:tcPr>
          <w:p w14:paraId="528E6D90" w14:textId="6DB35D03" w:rsidR="00F01B3A" w:rsidRPr="009A03AE" w:rsidRDefault="004E6059" w:rsidP="00E4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F01B3A" w:rsidRPr="009A0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Health Systems Capacity (total admission)</w:t>
            </w:r>
          </w:p>
        </w:tc>
        <w:tc>
          <w:tcPr>
            <w:tcW w:w="2790" w:type="dxa"/>
            <w:shd w:val="clear" w:color="000000" w:fill="0070C0"/>
            <w:noWrap/>
            <w:vAlign w:val="bottom"/>
            <w:hideMark/>
          </w:tcPr>
          <w:p w14:paraId="3D0E0607" w14:textId="77777777" w:rsidR="00F01B3A" w:rsidRPr="009A03AE" w:rsidRDefault="00F01B3A" w:rsidP="00E4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A03AE" w:rsidRPr="009A03AE" w14:paraId="6C4349C5" w14:textId="77777777" w:rsidTr="00565592">
        <w:trPr>
          <w:trHeight w:val="258"/>
        </w:trPr>
        <w:tc>
          <w:tcPr>
            <w:tcW w:w="1506" w:type="dxa"/>
            <w:shd w:val="clear" w:color="auto" w:fill="D9D9D9" w:themeFill="background1" w:themeFillShade="D9"/>
            <w:vAlign w:val="center"/>
            <w:hideMark/>
          </w:tcPr>
          <w:p w14:paraId="77497F8E" w14:textId="77777777" w:rsidR="00F01B3A" w:rsidRPr="009A03AE" w:rsidRDefault="00F01B3A" w:rsidP="00F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  <w:hideMark/>
          </w:tcPr>
          <w:p w14:paraId="59AF64DE" w14:textId="77777777" w:rsidR="00F01B3A" w:rsidRPr="009A03AE" w:rsidRDefault="00F01B3A" w:rsidP="00F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beds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14:paraId="38BD8346" w14:textId="7C1E027F" w:rsidR="00F01B3A" w:rsidRPr="009A03AE" w:rsidRDefault="00F01B3A" w:rsidP="00F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Total people treated if average number of inpatient days is 13 in a month (assuming 30 day month)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  <w:hideMark/>
          </w:tcPr>
          <w:p w14:paraId="5961DA1D" w14:textId="504111FD" w:rsidR="00F01B3A" w:rsidRPr="009A03AE" w:rsidRDefault="00F01B3A" w:rsidP="00F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Total number of people treated if average number of inpatient days is 9 in a month (assuming 30 day month) by mol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9F96188" w14:textId="326E4989" w:rsidR="00F01B3A" w:rsidRPr="009A03AE" w:rsidRDefault="00F01B3A" w:rsidP="00F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Additional Patients in ICU due to treatment per month </w:t>
            </w:r>
          </w:p>
        </w:tc>
      </w:tr>
      <w:tr w:rsidR="009A03AE" w:rsidRPr="009A03AE" w14:paraId="320AE63B" w14:textId="77777777" w:rsidTr="00565592">
        <w:trPr>
          <w:trHeight w:val="54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6C71E90C" w14:textId="77777777" w:rsidR="00F01B3A" w:rsidRPr="009A03AE" w:rsidRDefault="00F01B3A" w:rsidP="00F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9067382" w14:textId="77777777" w:rsidR="00F01B3A" w:rsidRPr="009A03AE" w:rsidRDefault="00F01B3A" w:rsidP="00F01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RANGE!R4"/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  <w:bookmarkEnd w:id="5"/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14:paraId="378A2FB3" w14:textId="550CA19B" w:rsidR="00F01B3A" w:rsidRPr="009A03AE" w:rsidRDefault="00F01B3A" w:rsidP="00F01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57,692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54A7F7" w14:textId="0BD32622" w:rsidR="00F01B3A" w:rsidRPr="009A03AE" w:rsidRDefault="00F01B3A" w:rsidP="00F01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83,333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9BC8294" w14:textId="4C07DCA5" w:rsidR="00F01B3A" w:rsidRPr="009A03AE" w:rsidRDefault="00F01B3A" w:rsidP="00F01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25,641</w:t>
            </w:r>
          </w:p>
        </w:tc>
      </w:tr>
      <w:tr w:rsidR="00F01B3A" w:rsidRPr="009A03AE" w14:paraId="399ADD25" w14:textId="77777777" w:rsidTr="00565592">
        <w:trPr>
          <w:trHeight w:val="54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672F3E5F" w14:textId="77777777" w:rsidR="00F01B3A" w:rsidRPr="009A03AE" w:rsidRDefault="00F01B3A" w:rsidP="00F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ICU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A78B3A8" w14:textId="6F68EC75" w:rsidR="00F01B3A" w:rsidRPr="009A03AE" w:rsidRDefault="00F01B3A" w:rsidP="00F01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R5"/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  <w:bookmarkEnd w:id="6"/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14:paraId="2390F226" w14:textId="7D1E4ABE" w:rsidR="00F01B3A" w:rsidRPr="009A03AE" w:rsidRDefault="00F01B3A" w:rsidP="00F01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3,462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A6658A" w14:textId="6D1F98ED" w:rsidR="00F01B3A" w:rsidRPr="009A03AE" w:rsidRDefault="00F01B3A" w:rsidP="00F01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C92086B" w14:textId="64A8718B" w:rsidR="00F01B3A" w:rsidRPr="009A03AE" w:rsidRDefault="00F01B3A" w:rsidP="00F01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1,538</w:t>
            </w:r>
          </w:p>
        </w:tc>
      </w:tr>
    </w:tbl>
    <w:p w14:paraId="17F61BA8" w14:textId="6BA101A5" w:rsidR="00E40F5B" w:rsidRPr="009A03AE" w:rsidRDefault="00E40F5B">
      <w:pPr>
        <w:rPr>
          <w:rFonts w:ascii="Times New Roman" w:hAnsi="Times New Roman" w:cs="Times New Roman"/>
        </w:rPr>
      </w:pPr>
    </w:p>
    <w:tbl>
      <w:tblPr>
        <w:tblW w:w="14400" w:type="dxa"/>
        <w:tblInd w:w="-10" w:type="dxa"/>
        <w:tblLook w:val="04A0" w:firstRow="1" w:lastRow="0" w:firstColumn="1" w:lastColumn="0" w:noHBand="0" w:noVBand="1"/>
      </w:tblPr>
      <w:tblGrid>
        <w:gridCol w:w="2161"/>
        <w:gridCol w:w="1253"/>
        <w:gridCol w:w="1254"/>
        <w:gridCol w:w="1722"/>
        <w:gridCol w:w="1530"/>
        <w:gridCol w:w="1530"/>
        <w:gridCol w:w="1530"/>
        <w:gridCol w:w="1530"/>
        <w:gridCol w:w="1890"/>
      </w:tblGrid>
      <w:tr w:rsidR="009A03AE" w:rsidRPr="009A03AE" w14:paraId="29544E93" w14:textId="77777777" w:rsidTr="00565592">
        <w:trPr>
          <w:trHeight w:val="69"/>
        </w:trPr>
        <w:tc>
          <w:tcPr>
            <w:tcW w:w="144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F4230BA" w14:textId="40CBC640" w:rsidR="002B10F7" w:rsidRPr="009A03AE" w:rsidRDefault="002B10F7" w:rsidP="004E60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 Outcome</w:t>
            </w:r>
          </w:p>
        </w:tc>
      </w:tr>
      <w:tr w:rsidR="009A03AE" w:rsidRPr="009A03AE" w14:paraId="6D3FBFAB" w14:textId="5F8DD68E" w:rsidTr="00565592">
        <w:trPr>
          <w:trHeight w:val="497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DCFB" w14:textId="21CB637C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Drug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A3213" w14:textId="1091D00A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Number of people who need hospital admission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A0CB" w14:textId="608FFBAA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Number of people who need ICU admission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77260" w14:textId="4FCE6800" w:rsidR="004378B3" w:rsidRPr="009A03AE" w:rsidRDefault="004378B3" w:rsidP="00437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Averted number of people who need hospital/ICU admission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76A37" w14:textId="59D2F82B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Number of patients getting hospital care when capacity is breached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D2FED" w14:textId="7F31E8AC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Number of patients getting ICU care when capacity is breached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A283" w14:textId="4DA7ECC9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Hospital admission for all months when capacity is not exceeded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14FF6" w14:textId="3E33AC8B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ICU admission for all months when capacity is not exceeded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CDC93" w14:textId="41BC99FD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 xml:space="preserve">Additional patients receiving hospital/ICU care if all patients receive treatment </w:t>
            </w:r>
          </w:p>
        </w:tc>
      </w:tr>
      <w:tr w:rsidR="009A03AE" w:rsidRPr="009A03AE" w14:paraId="5F01A5BE" w14:textId="2818B8D9" w:rsidTr="00565592">
        <w:trPr>
          <w:trHeight w:val="69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0088" w14:textId="4C0BA7F9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Status quo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37A7" w14:textId="2F53F769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181,931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B7C5" w14:textId="023D409E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54,579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7EB" w14:textId="62123710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B997" w14:textId="4E5B3A89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115,385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4B62" w14:textId="284435B9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03AE">
              <w:rPr>
                <w:rFonts w:ascii="Times New Roman" w:hAnsi="Times New Roman" w:cs="Times New Roman"/>
              </w:rPr>
              <w:t>13,846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A077" w14:textId="44900FBF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68,873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D3A4" w14:textId="65B8DD63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03AE">
              <w:rPr>
                <w:rFonts w:ascii="Times New Roman" w:hAnsi="Times New Roman" w:cs="Times New Roman"/>
              </w:rPr>
              <w:t>6,476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2882" w14:textId="29708978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03AE">
              <w:rPr>
                <w:rFonts w:ascii="Times New Roman" w:hAnsi="Times New Roman" w:cs="Times New Roman"/>
              </w:rPr>
              <w:t>NA</w:t>
            </w:r>
          </w:p>
        </w:tc>
      </w:tr>
      <w:tr w:rsidR="009A03AE" w:rsidRPr="009A03AE" w14:paraId="78263185" w14:textId="01385CCC" w:rsidTr="00565592">
        <w:trPr>
          <w:trHeight w:val="94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84A" w14:textId="24E2171C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Molnupiravir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33FE" w14:textId="548295E2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135,803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4E7B" w14:textId="3BADE988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40,740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E63A" w14:textId="0CC4AD59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-59,967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C08E" w14:textId="7F463FF0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29B1" w14:textId="4E10207A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07B7" w14:textId="513CF210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135,803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C256" w14:textId="2A1F2097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4,772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ABBD" w14:textId="6EE9193D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44,005</w:t>
            </w:r>
          </w:p>
        </w:tc>
      </w:tr>
      <w:tr w:rsidR="009A03AE" w:rsidRPr="009A03AE" w14:paraId="57DFD7AF" w14:textId="4C2E1131" w:rsidTr="00565592">
        <w:trPr>
          <w:trHeight w:val="94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2DC" w14:textId="08772DF2" w:rsidR="004378B3" w:rsidRPr="009A03AE" w:rsidRDefault="004378B3" w:rsidP="0043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Nirmatrelvir/Ritonavir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83F9" w14:textId="19E4D95B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36,949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2F78" w14:textId="128B5855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  <w:sz w:val="20"/>
                <w:szCs w:val="20"/>
              </w:rPr>
              <w:t>11,083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7753" w14:textId="703AEF8B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-188,478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F568" w14:textId="7B20B62B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BC54" w14:textId="5BBACC80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696D" w14:textId="2368A7B0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36,949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61DA" w14:textId="00F5E36F" w:rsidR="004378B3" w:rsidRPr="009A03AE" w:rsidRDefault="004378B3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4,080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6B4E" w14:textId="63FF0533" w:rsidR="004378B3" w:rsidRPr="009A03AE" w:rsidRDefault="00B541EF" w:rsidP="00437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153,551</w:t>
            </w:r>
          </w:p>
        </w:tc>
      </w:tr>
    </w:tbl>
    <w:p w14:paraId="0B957A8A" w14:textId="6A8DF56A" w:rsidR="00E40F5B" w:rsidRPr="009A03AE" w:rsidRDefault="00E40F5B">
      <w:pPr>
        <w:rPr>
          <w:rFonts w:ascii="Times New Roman" w:hAnsi="Times New Roman" w:cs="Times New Roman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3601"/>
        <w:gridCol w:w="4613"/>
        <w:gridCol w:w="3996"/>
      </w:tblGrid>
      <w:tr w:rsidR="009A03AE" w:rsidRPr="009A03AE" w14:paraId="1149EB10" w14:textId="77777777" w:rsidTr="007E50C9">
        <w:trPr>
          <w:trHeight w:val="86"/>
        </w:trPr>
        <w:tc>
          <w:tcPr>
            <w:tcW w:w="2185" w:type="dxa"/>
            <w:shd w:val="clear" w:color="000000" w:fill="0070C0"/>
            <w:noWrap/>
            <w:vAlign w:val="bottom"/>
            <w:hideMark/>
          </w:tcPr>
          <w:p w14:paraId="56280FEA" w14:textId="7B4EB726" w:rsidR="002B10F7" w:rsidRPr="009A03AE" w:rsidRDefault="004E6059" w:rsidP="00E4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10F7" w:rsidRPr="009A0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Cost </w:t>
            </w:r>
          </w:p>
        </w:tc>
        <w:tc>
          <w:tcPr>
            <w:tcW w:w="3601" w:type="dxa"/>
            <w:shd w:val="clear" w:color="000000" w:fill="0070C0"/>
            <w:noWrap/>
            <w:vAlign w:val="bottom"/>
            <w:hideMark/>
          </w:tcPr>
          <w:p w14:paraId="04CC1D7F" w14:textId="77777777" w:rsidR="002B10F7" w:rsidRPr="009A03AE" w:rsidRDefault="002B10F7" w:rsidP="00E4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3" w:type="dxa"/>
            <w:shd w:val="clear" w:color="000000" w:fill="0070C0"/>
            <w:noWrap/>
            <w:vAlign w:val="bottom"/>
            <w:hideMark/>
          </w:tcPr>
          <w:p w14:paraId="4294FE2B" w14:textId="77777777" w:rsidR="002B10F7" w:rsidRPr="009A03AE" w:rsidRDefault="002B10F7" w:rsidP="00E4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6" w:type="dxa"/>
            <w:shd w:val="clear" w:color="000000" w:fill="0070C0"/>
            <w:noWrap/>
            <w:vAlign w:val="bottom"/>
            <w:hideMark/>
          </w:tcPr>
          <w:p w14:paraId="13D5EF4C" w14:textId="77777777" w:rsidR="002B10F7" w:rsidRPr="009A03AE" w:rsidRDefault="002B10F7" w:rsidP="00E4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03AE" w:rsidRPr="009A03AE" w14:paraId="736737A1" w14:textId="77777777" w:rsidTr="007E50C9">
        <w:trPr>
          <w:trHeight w:val="8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5BCB7DFB" w14:textId="77777777" w:rsidR="002B10F7" w:rsidRPr="009A03AE" w:rsidRDefault="002B10F7" w:rsidP="00E4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Drug</w:t>
            </w:r>
          </w:p>
        </w:tc>
        <w:tc>
          <w:tcPr>
            <w:tcW w:w="3601" w:type="dxa"/>
            <w:shd w:val="clear" w:color="auto" w:fill="D9D9D9" w:themeFill="background1" w:themeFillShade="D9"/>
            <w:hideMark/>
          </w:tcPr>
          <w:p w14:paraId="0E8210AB" w14:textId="77777777" w:rsidR="002B10F7" w:rsidRPr="009A03AE" w:rsidRDefault="002B10F7" w:rsidP="00E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Drug cost</w:t>
            </w:r>
          </w:p>
        </w:tc>
        <w:tc>
          <w:tcPr>
            <w:tcW w:w="4613" w:type="dxa"/>
            <w:shd w:val="clear" w:color="auto" w:fill="D9D9D9" w:themeFill="background1" w:themeFillShade="D9"/>
            <w:hideMark/>
          </w:tcPr>
          <w:p w14:paraId="04D73929" w14:textId="605D1B23" w:rsidR="002B10F7" w:rsidRPr="009A03AE" w:rsidRDefault="002B10F7" w:rsidP="00E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Hospital operation costs</w:t>
            </w:r>
          </w:p>
        </w:tc>
        <w:tc>
          <w:tcPr>
            <w:tcW w:w="3996" w:type="dxa"/>
            <w:shd w:val="clear" w:color="auto" w:fill="D9D9D9" w:themeFill="background1" w:themeFillShade="D9"/>
            <w:hideMark/>
          </w:tcPr>
          <w:p w14:paraId="7508F335" w14:textId="6EE6ED3F" w:rsidR="002B10F7" w:rsidRPr="009A03AE" w:rsidRDefault="002B10F7" w:rsidP="00E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ICU operation costs</w:t>
            </w:r>
          </w:p>
        </w:tc>
      </w:tr>
      <w:tr w:rsidR="009A03AE" w:rsidRPr="009A03AE" w14:paraId="10D11B00" w14:textId="77777777" w:rsidTr="007E50C9">
        <w:trPr>
          <w:trHeight w:val="82"/>
        </w:trPr>
        <w:tc>
          <w:tcPr>
            <w:tcW w:w="2185" w:type="dxa"/>
            <w:shd w:val="clear" w:color="auto" w:fill="auto"/>
            <w:vAlign w:val="center"/>
          </w:tcPr>
          <w:p w14:paraId="4F4B81C1" w14:textId="09ADC80B" w:rsidR="002B10F7" w:rsidRPr="009A03AE" w:rsidRDefault="002B10F7" w:rsidP="0072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Status quo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1EBDA547" w14:textId="2C91888E" w:rsidR="002B10F7" w:rsidRPr="009A03AE" w:rsidRDefault="002B10F7" w:rsidP="002B1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2C9A7510" w14:textId="7DA13A6F" w:rsidR="002B10F7" w:rsidRPr="009A03AE" w:rsidRDefault="002A7AFF" w:rsidP="002A7AF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9A03AE">
              <w:rPr>
                <w:rFonts w:ascii="Times New Roman" w:hAnsi="Times New Roman" w:cs="Times New Roman"/>
              </w:rPr>
              <w:t>$49,196,783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BB09858" w14:textId="5F2D4116" w:rsidR="002B10F7" w:rsidRPr="009A03AE" w:rsidRDefault="002A7AFF" w:rsidP="002A7AF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9A03AE">
              <w:rPr>
                <w:rFonts w:ascii="Times New Roman" w:hAnsi="Times New Roman" w:cs="Times New Roman"/>
              </w:rPr>
              <w:t>$16,765,777</w:t>
            </w:r>
          </w:p>
        </w:tc>
      </w:tr>
      <w:tr w:rsidR="009A03AE" w:rsidRPr="009A03AE" w14:paraId="545EBE41" w14:textId="77777777" w:rsidTr="007E50C9">
        <w:trPr>
          <w:trHeight w:val="86"/>
        </w:trPr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59CE1399" w14:textId="13923C66" w:rsidR="002A7AFF" w:rsidRPr="009A03AE" w:rsidRDefault="002A7AFF" w:rsidP="002A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Molnupiravir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1B772B87" w14:textId="5B351D03" w:rsidR="002A7AFF" w:rsidRPr="009A03AE" w:rsidRDefault="002A7AFF" w:rsidP="002A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$1,717,867,200</w:t>
            </w:r>
          </w:p>
        </w:tc>
        <w:tc>
          <w:tcPr>
            <w:tcW w:w="4613" w:type="dxa"/>
            <w:shd w:val="clear" w:color="auto" w:fill="auto"/>
            <w:noWrap/>
            <w:vAlign w:val="bottom"/>
            <w:hideMark/>
          </w:tcPr>
          <w:p w14:paraId="7CCE958D" w14:textId="6812D394" w:rsidR="002A7AFF" w:rsidRPr="009A03AE" w:rsidRDefault="002A7AFF" w:rsidP="002A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$36,259,401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320DBED5" w14:textId="666C8949" w:rsidR="002A7AFF" w:rsidRPr="009A03AE" w:rsidRDefault="002A7AFF" w:rsidP="002A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$20,436,900</w:t>
            </w:r>
          </w:p>
        </w:tc>
      </w:tr>
      <w:tr w:rsidR="002A7AFF" w:rsidRPr="009A03AE" w14:paraId="65AF9D74" w14:textId="77777777" w:rsidTr="007E50C9">
        <w:trPr>
          <w:trHeight w:val="86"/>
        </w:trPr>
        <w:tc>
          <w:tcPr>
            <w:tcW w:w="2185" w:type="dxa"/>
            <w:shd w:val="clear" w:color="auto" w:fill="auto"/>
            <w:noWrap/>
            <w:vAlign w:val="bottom"/>
            <w:hideMark/>
          </w:tcPr>
          <w:p w14:paraId="51B5AB63" w14:textId="33A89CE4" w:rsidR="002A7AFF" w:rsidRPr="009A03AE" w:rsidRDefault="002A7AFF" w:rsidP="002A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eastAsia="Times New Roman" w:hAnsi="Times New Roman" w:cs="Times New Roman"/>
                <w:sz w:val="20"/>
                <w:szCs w:val="20"/>
              </w:rPr>
              <w:t>Nirmatrelvir/ritonavir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6F60C09D" w14:textId="6177B9F4" w:rsidR="002A7AFF" w:rsidRPr="009A03AE" w:rsidRDefault="002A7AFF" w:rsidP="002A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$1,717,867,200</w:t>
            </w:r>
          </w:p>
        </w:tc>
        <w:tc>
          <w:tcPr>
            <w:tcW w:w="4613" w:type="dxa"/>
            <w:shd w:val="clear" w:color="auto" w:fill="auto"/>
            <w:noWrap/>
            <w:vAlign w:val="bottom"/>
            <w:hideMark/>
          </w:tcPr>
          <w:p w14:paraId="01500130" w14:textId="387B282C" w:rsidR="002A7AFF" w:rsidRPr="009A03AE" w:rsidRDefault="002A7AFF" w:rsidP="002A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$9,865,383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3D64F8F5" w14:textId="419585E0" w:rsidR="002A7AFF" w:rsidRPr="009A03AE" w:rsidRDefault="002A7AFF" w:rsidP="002A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3AE">
              <w:rPr>
                <w:rFonts w:ascii="Times New Roman" w:hAnsi="Times New Roman" w:cs="Times New Roman"/>
              </w:rPr>
              <w:t>$11,616,000</w:t>
            </w:r>
          </w:p>
        </w:tc>
      </w:tr>
    </w:tbl>
    <w:p w14:paraId="4BAA7A07" w14:textId="77777777" w:rsidR="007D58D5" w:rsidRPr="009A03AE" w:rsidRDefault="007D58D5">
      <w:pPr>
        <w:rPr>
          <w:rFonts w:ascii="Times New Roman" w:hAnsi="Times New Roman" w:cs="Times New Roman"/>
        </w:rPr>
      </w:pPr>
    </w:p>
    <w:p w14:paraId="232C2DF1" w14:textId="3552EF5E" w:rsidR="00DD7CAA" w:rsidRPr="009A03AE" w:rsidRDefault="00DD7CAA" w:rsidP="00950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CCEF4" w14:textId="70EB41A0" w:rsidR="00E40F5B" w:rsidRPr="009A03AE" w:rsidRDefault="00E40F5B">
      <w:pPr>
        <w:rPr>
          <w:rFonts w:ascii="Times New Roman" w:hAnsi="Times New Roman" w:cs="Times New Roman"/>
        </w:rPr>
      </w:pPr>
    </w:p>
    <w:sectPr w:rsidR="00E40F5B" w:rsidRPr="009A03AE" w:rsidSect="004F512B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7D49" w14:textId="77777777" w:rsidR="00757D1D" w:rsidRDefault="00757D1D" w:rsidP="00473619">
      <w:pPr>
        <w:spacing w:after="0" w:line="240" w:lineRule="auto"/>
      </w:pPr>
      <w:r>
        <w:separator/>
      </w:r>
    </w:p>
  </w:endnote>
  <w:endnote w:type="continuationSeparator" w:id="0">
    <w:p w14:paraId="7C208DEA" w14:textId="77777777" w:rsidR="00757D1D" w:rsidRDefault="00757D1D" w:rsidP="004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606435"/>
      <w:docPartObj>
        <w:docPartGallery w:val="Page Numbers (Bottom of Page)"/>
        <w:docPartUnique/>
      </w:docPartObj>
    </w:sdtPr>
    <w:sdtEndPr/>
    <w:sdtContent>
      <w:p w14:paraId="62678AF3" w14:textId="76283F79" w:rsidR="00473619" w:rsidRDefault="004736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59" w:rsidRPr="00950359">
          <w:rPr>
            <w:noProof/>
            <w:lang w:val="ko-KR"/>
          </w:rPr>
          <w:t>2</w:t>
        </w:r>
        <w:r>
          <w:fldChar w:fldCharType="end"/>
        </w:r>
      </w:p>
    </w:sdtContent>
  </w:sdt>
  <w:p w14:paraId="6DD0CF56" w14:textId="77777777" w:rsidR="00473619" w:rsidRDefault="004736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164A" w14:textId="77777777" w:rsidR="00757D1D" w:rsidRDefault="00757D1D" w:rsidP="00473619">
      <w:pPr>
        <w:spacing w:after="0" w:line="240" w:lineRule="auto"/>
      </w:pPr>
      <w:r>
        <w:separator/>
      </w:r>
    </w:p>
  </w:footnote>
  <w:footnote w:type="continuationSeparator" w:id="0">
    <w:p w14:paraId="13DA4845" w14:textId="77777777" w:rsidR="00757D1D" w:rsidRDefault="00757D1D" w:rsidP="0047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092A"/>
    <w:multiLevelType w:val="hybridMultilevel"/>
    <w:tmpl w:val="723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1A4F"/>
    <w:multiLevelType w:val="hybridMultilevel"/>
    <w:tmpl w:val="737CCB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15BF4"/>
    <w:multiLevelType w:val="hybridMultilevel"/>
    <w:tmpl w:val="53FEBD68"/>
    <w:lvl w:ilvl="0" w:tplc="A22AA12A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A57F8E"/>
    <w:multiLevelType w:val="hybridMultilevel"/>
    <w:tmpl w:val="E042F132"/>
    <w:lvl w:ilvl="0" w:tplc="CC0C60E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87B"/>
    <w:multiLevelType w:val="hybridMultilevel"/>
    <w:tmpl w:val="C9AA20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805425"/>
    <w:multiLevelType w:val="hybridMultilevel"/>
    <w:tmpl w:val="DC064A76"/>
    <w:lvl w:ilvl="0" w:tplc="CD92E496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A34BA"/>
    <w:multiLevelType w:val="hybridMultilevel"/>
    <w:tmpl w:val="DD162430"/>
    <w:lvl w:ilvl="0" w:tplc="7092F502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tjQ0NjM3MLWwMDdQ0lEKTi0uzszPAykwNKsFAJ/oNqktAAAA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zxse2ac2200me5wp3vdpwaswsrxtzxzaxs&quot;&gt;My EndNote Library&lt;record-ids&gt;&lt;item&gt;182&lt;/item&gt;&lt;item&gt;203&lt;/item&gt;&lt;item&gt;204&lt;/item&gt;&lt;item&gt;205&lt;/item&gt;&lt;item&gt;206&lt;/item&gt;&lt;item&gt;209&lt;/item&gt;&lt;item&gt;213&lt;/item&gt;&lt;/record-ids&gt;&lt;/item&gt;&lt;/Libraries&gt;"/>
  </w:docVars>
  <w:rsids>
    <w:rsidRoot w:val="0090232E"/>
    <w:rsid w:val="000373D5"/>
    <w:rsid w:val="000422BF"/>
    <w:rsid w:val="000456DC"/>
    <w:rsid w:val="000532D9"/>
    <w:rsid w:val="00057831"/>
    <w:rsid w:val="00070403"/>
    <w:rsid w:val="0007381D"/>
    <w:rsid w:val="000761F9"/>
    <w:rsid w:val="00092CBF"/>
    <w:rsid w:val="000A5651"/>
    <w:rsid w:val="000B0D83"/>
    <w:rsid w:val="000C1354"/>
    <w:rsid w:val="000C2575"/>
    <w:rsid w:val="000F0B55"/>
    <w:rsid w:val="000F3BDA"/>
    <w:rsid w:val="00124753"/>
    <w:rsid w:val="0012591A"/>
    <w:rsid w:val="00152210"/>
    <w:rsid w:val="001525C0"/>
    <w:rsid w:val="00154003"/>
    <w:rsid w:val="0015517E"/>
    <w:rsid w:val="00174DF7"/>
    <w:rsid w:val="00183319"/>
    <w:rsid w:val="0018351A"/>
    <w:rsid w:val="00187AA9"/>
    <w:rsid w:val="001A4F87"/>
    <w:rsid w:val="001B26DD"/>
    <w:rsid w:val="001B2865"/>
    <w:rsid w:val="001C0586"/>
    <w:rsid w:val="001C7F13"/>
    <w:rsid w:val="001D6AD3"/>
    <w:rsid w:val="001E2FC8"/>
    <w:rsid w:val="00220185"/>
    <w:rsid w:val="00222145"/>
    <w:rsid w:val="00225ABF"/>
    <w:rsid w:val="0027325A"/>
    <w:rsid w:val="00276760"/>
    <w:rsid w:val="00286F85"/>
    <w:rsid w:val="0028703F"/>
    <w:rsid w:val="00291502"/>
    <w:rsid w:val="002A05A4"/>
    <w:rsid w:val="002A5C20"/>
    <w:rsid w:val="002A7AFF"/>
    <w:rsid w:val="002A7D82"/>
    <w:rsid w:val="002B0705"/>
    <w:rsid w:val="002B10F7"/>
    <w:rsid w:val="002C196F"/>
    <w:rsid w:val="002C53D1"/>
    <w:rsid w:val="002D3B3D"/>
    <w:rsid w:val="002D72EB"/>
    <w:rsid w:val="002F6C81"/>
    <w:rsid w:val="003110D0"/>
    <w:rsid w:val="00316874"/>
    <w:rsid w:val="00327A31"/>
    <w:rsid w:val="00331A7F"/>
    <w:rsid w:val="00331F39"/>
    <w:rsid w:val="00344A25"/>
    <w:rsid w:val="00350E38"/>
    <w:rsid w:val="00357C4F"/>
    <w:rsid w:val="0036650E"/>
    <w:rsid w:val="00370EE2"/>
    <w:rsid w:val="00376F50"/>
    <w:rsid w:val="00380117"/>
    <w:rsid w:val="00383B2A"/>
    <w:rsid w:val="00386C0B"/>
    <w:rsid w:val="003953CA"/>
    <w:rsid w:val="003A01B5"/>
    <w:rsid w:val="003A06BA"/>
    <w:rsid w:val="003B71F8"/>
    <w:rsid w:val="003D2155"/>
    <w:rsid w:val="003E7428"/>
    <w:rsid w:val="003F5FD1"/>
    <w:rsid w:val="003F7D0B"/>
    <w:rsid w:val="004038B0"/>
    <w:rsid w:val="004129D3"/>
    <w:rsid w:val="004214FB"/>
    <w:rsid w:val="00426941"/>
    <w:rsid w:val="00435AF5"/>
    <w:rsid w:val="004378B3"/>
    <w:rsid w:val="0044555B"/>
    <w:rsid w:val="00447EDF"/>
    <w:rsid w:val="0047289B"/>
    <w:rsid w:val="00473619"/>
    <w:rsid w:val="004760FC"/>
    <w:rsid w:val="004817BA"/>
    <w:rsid w:val="004A373D"/>
    <w:rsid w:val="004C76FC"/>
    <w:rsid w:val="004C7D41"/>
    <w:rsid w:val="004D6F0D"/>
    <w:rsid w:val="004E15AE"/>
    <w:rsid w:val="004E6059"/>
    <w:rsid w:val="004F250F"/>
    <w:rsid w:val="004F512B"/>
    <w:rsid w:val="00510B36"/>
    <w:rsid w:val="00520019"/>
    <w:rsid w:val="0052726A"/>
    <w:rsid w:val="00533F82"/>
    <w:rsid w:val="00543F63"/>
    <w:rsid w:val="005456A2"/>
    <w:rsid w:val="005561D2"/>
    <w:rsid w:val="00560382"/>
    <w:rsid w:val="00560383"/>
    <w:rsid w:val="00565592"/>
    <w:rsid w:val="00567FF9"/>
    <w:rsid w:val="005B6053"/>
    <w:rsid w:val="005E40DF"/>
    <w:rsid w:val="005F0AB1"/>
    <w:rsid w:val="005F2009"/>
    <w:rsid w:val="005F35E4"/>
    <w:rsid w:val="005F50B3"/>
    <w:rsid w:val="005F5B19"/>
    <w:rsid w:val="0060151C"/>
    <w:rsid w:val="0060195A"/>
    <w:rsid w:val="00601DDB"/>
    <w:rsid w:val="00601E36"/>
    <w:rsid w:val="006027F7"/>
    <w:rsid w:val="00622038"/>
    <w:rsid w:val="00635B52"/>
    <w:rsid w:val="00650C27"/>
    <w:rsid w:val="00660DFF"/>
    <w:rsid w:val="00662C67"/>
    <w:rsid w:val="006632DB"/>
    <w:rsid w:val="00681CE9"/>
    <w:rsid w:val="006830FE"/>
    <w:rsid w:val="00696821"/>
    <w:rsid w:val="006A62AE"/>
    <w:rsid w:val="006B37DD"/>
    <w:rsid w:val="006D24C0"/>
    <w:rsid w:val="006D6799"/>
    <w:rsid w:val="006E2B23"/>
    <w:rsid w:val="006E3A32"/>
    <w:rsid w:val="006E517A"/>
    <w:rsid w:val="006F71EB"/>
    <w:rsid w:val="00700960"/>
    <w:rsid w:val="00713336"/>
    <w:rsid w:val="00720EBA"/>
    <w:rsid w:val="00722484"/>
    <w:rsid w:val="0074701E"/>
    <w:rsid w:val="00757D1D"/>
    <w:rsid w:val="00764F04"/>
    <w:rsid w:val="00767E0F"/>
    <w:rsid w:val="007706F9"/>
    <w:rsid w:val="007A1399"/>
    <w:rsid w:val="007B12F5"/>
    <w:rsid w:val="007B1AEB"/>
    <w:rsid w:val="007C3E5A"/>
    <w:rsid w:val="007C6D81"/>
    <w:rsid w:val="007D1D12"/>
    <w:rsid w:val="007D58D5"/>
    <w:rsid w:val="007E50C9"/>
    <w:rsid w:val="00801100"/>
    <w:rsid w:val="00801381"/>
    <w:rsid w:val="008102AB"/>
    <w:rsid w:val="0081236A"/>
    <w:rsid w:val="00814305"/>
    <w:rsid w:val="00824B53"/>
    <w:rsid w:val="008261F3"/>
    <w:rsid w:val="008722C1"/>
    <w:rsid w:val="008A1D1C"/>
    <w:rsid w:val="008A5CCB"/>
    <w:rsid w:val="008A5CCD"/>
    <w:rsid w:val="008B19EB"/>
    <w:rsid w:val="008C05A1"/>
    <w:rsid w:val="008C57F4"/>
    <w:rsid w:val="008E2109"/>
    <w:rsid w:val="008F3D68"/>
    <w:rsid w:val="008F57CB"/>
    <w:rsid w:val="008F76DE"/>
    <w:rsid w:val="00901AE6"/>
    <w:rsid w:val="0090232E"/>
    <w:rsid w:val="009202ED"/>
    <w:rsid w:val="00920D5A"/>
    <w:rsid w:val="00950359"/>
    <w:rsid w:val="00973CC9"/>
    <w:rsid w:val="009872B6"/>
    <w:rsid w:val="00987A4D"/>
    <w:rsid w:val="009A03AE"/>
    <w:rsid w:val="009A20F1"/>
    <w:rsid w:val="009A30B3"/>
    <w:rsid w:val="009C1FB4"/>
    <w:rsid w:val="009C703B"/>
    <w:rsid w:val="009D2F05"/>
    <w:rsid w:val="00A035BD"/>
    <w:rsid w:val="00A06010"/>
    <w:rsid w:val="00A16963"/>
    <w:rsid w:val="00A44019"/>
    <w:rsid w:val="00A47161"/>
    <w:rsid w:val="00A73967"/>
    <w:rsid w:val="00AC2182"/>
    <w:rsid w:val="00AC326E"/>
    <w:rsid w:val="00AD205C"/>
    <w:rsid w:val="00AD3354"/>
    <w:rsid w:val="00AF2531"/>
    <w:rsid w:val="00AF5FC7"/>
    <w:rsid w:val="00AF67E7"/>
    <w:rsid w:val="00B01FD9"/>
    <w:rsid w:val="00B023CB"/>
    <w:rsid w:val="00B072A9"/>
    <w:rsid w:val="00B11755"/>
    <w:rsid w:val="00B35423"/>
    <w:rsid w:val="00B419C5"/>
    <w:rsid w:val="00B47046"/>
    <w:rsid w:val="00B47BF4"/>
    <w:rsid w:val="00B5095C"/>
    <w:rsid w:val="00B541EF"/>
    <w:rsid w:val="00B67128"/>
    <w:rsid w:val="00B87811"/>
    <w:rsid w:val="00BA1C4C"/>
    <w:rsid w:val="00BA4F76"/>
    <w:rsid w:val="00BA7405"/>
    <w:rsid w:val="00BC6036"/>
    <w:rsid w:val="00BD28A0"/>
    <w:rsid w:val="00BE40DE"/>
    <w:rsid w:val="00BE4A82"/>
    <w:rsid w:val="00BF01B7"/>
    <w:rsid w:val="00BF30B6"/>
    <w:rsid w:val="00BF68AE"/>
    <w:rsid w:val="00C10303"/>
    <w:rsid w:val="00C17642"/>
    <w:rsid w:val="00C22BCC"/>
    <w:rsid w:val="00C253EE"/>
    <w:rsid w:val="00C35902"/>
    <w:rsid w:val="00C40BB3"/>
    <w:rsid w:val="00C46E15"/>
    <w:rsid w:val="00C75F1F"/>
    <w:rsid w:val="00C9664A"/>
    <w:rsid w:val="00C97DC0"/>
    <w:rsid w:val="00C97FBC"/>
    <w:rsid w:val="00CA377A"/>
    <w:rsid w:val="00CA53F6"/>
    <w:rsid w:val="00CE01D7"/>
    <w:rsid w:val="00D14A0A"/>
    <w:rsid w:val="00D24411"/>
    <w:rsid w:val="00D24988"/>
    <w:rsid w:val="00D45AA9"/>
    <w:rsid w:val="00D5691D"/>
    <w:rsid w:val="00D6083C"/>
    <w:rsid w:val="00D62BC2"/>
    <w:rsid w:val="00D65BC5"/>
    <w:rsid w:val="00D80763"/>
    <w:rsid w:val="00D8092C"/>
    <w:rsid w:val="00D857A6"/>
    <w:rsid w:val="00DD7CAA"/>
    <w:rsid w:val="00DF20C3"/>
    <w:rsid w:val="00E02468"/>
    <w:rsid w:val="00E05740"/>
    <w:rsid w:val="00E11717"/>
    <w:rsid w:val="00E40F5B"/>
    <w:rsid w:val="00E56671"/>
    <w:rsid w:val="00E60800"/>
    <w:rsid w:val="00E63048"/>
    <w:rsid w:val="00EB0493"/>
    <w:rsid w:val="00EB1C0B"/>
    <w:rsid w:val="00EB1EEF"/>
    <w:rsid w:val="00EB7FC2"/>
    <w:rsid w:val="00ED3B1D"/>
    <w:rsid w:val="00EF2B9E"/>
    <w:rsid w:val="00EF6C1D"/>
    <w:rsid w:val="00F01B3A"/>
    <w:rsid w:val="00F40D45"/>
    <w:rsid w:val="00F57E01"/>
    <w:rsid w:val="00F76574"/>
    <w:rsid w:val="00F80192"/>
    <w:rsid w:val="00F9193D"/>
    <w:rsid w:val="00FC0592"/>
    <w:rsid w:val="00FD0176"/>
    <w:rsid w:val="00FD1E1D"/>
    <w:rsid w:val="00FE2905"/>
    <w:rsid w:val="00FF1103"/>
    <w:rsid w:val="00FF155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F727"/>
  <w15:chartTrackingRefBased/>
  <w15:docId w15:val="{CE17927E-0C4F-4D51-8266-7122DA0B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Char"/>
    <w:uiPriority w:val="34"/>
    <w:qFormat/>
    <w:rsid w:val="00BF30B6"/>
    <w:pPr>
      <w:ind w:left="720"/>
      <w:contextualSpacing/>
    </w:pPr>
  </w:style>
  <w:style w:type="paragraph" w:customStyle="1" w:styleId="para">
    <w:name w:val="para"/>
    <w:basedOn w:val="a"/>
    <w:rsid w:val="005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목록 단락 Char"/>
    <w:basedOn w:val="a0"/>
    <w:link w:val="a4"/>
    <w:uiPriority w:val="34"/>
    <w:rsid w:val="00ED3B1D"/>
  </w:style>
  <w:style w:type="paragraph" w:customStyle="1" w:styleId="EndNoteBibliographyTitle">
    <w:name w:val="EndNote Bibliography Title"/>
    <w:basedOn w:val="a"/>
    <w:link w:val="EndNoteBibliographyTitleChar"/>
    <w:rsid w:val="007D58D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D58D5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D58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D58D5"/>
    <w:rPr>
      <w:rFonts w:ascii="Calibri" w:hAnsi="Calibri" w:cs="Calibri"/>
      <w:noProof/>
    </w:rPr>
  </w:style>
  <w:style w:type="paragraph" w:styleId="a5">
    <w:name w:val="header"/>
    <w:basedOn w:val="a"/>
    <w:link w:val="Char0"/>
    <w:uiPriority w:val="99"/>
    <w:unhideWhenUsed/>
    <w:rsid w:val="004736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73619"/>
  </w:style>
  <w:style w:type="paragraph" w:styleId="a6">
    <w:name w:val="footer"/>
    <w:basedOn w:val="a"/>
    <w:link w:val="Char1"/>
    <w:uiPriority w:val="99"/>
    <w:unhideWhenUsed/>
    <w:rsid w:val="004736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73619"/>
  </w:style>
  <w:style w:type="character" w:styleId="a7">
    <w:name w:val="annotation reference"/>
    <w:basedOn w:val="a0"/>
    <w:uiPriority w:val="99"/>
    <w:semiHidden/>
    <w:unhideWhenUsed/>
    <w:rsid w:val="0015221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52210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15221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52210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15221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D7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5402-380D-452E-9575-843153CF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Youngji</dc:creator>
  <cp:keywords/>
  <dc:description/>
  <cp:lastModifiedBy>AppPower</cp:lastModifiedBy>
  <cp:revision>2</cp:revision>
  <dcterms:created xsi:type="dcterms:W3CDTF">2022-07-12T06:52:00Z</dcterms:created>
  <dcterms:modified xsi:type="dcterms:W3CDTF">2022-07-12T06:52:00Z</dcterms:modified>
</cp:coreProperties>
</file>