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E5D52" w14:textId="1BD335F5" w:rsidR="00B11755" w:rsidRPr="009A03AE" w:rsidRDefault="005B6053" w:rsidP="00B11755">
      <w:pPr>
        <w:spacing w:after="0"/>
        <w:rPr>
          <w:rFonts w:ascii="Times New Roman" w:hAnsi="Times New Roman" w:cs="Times New Roman"/>
          <w:b/>
          <w:bCs/>
          <w:sz w:val="24"/>
          <w:szCs w:val="24"/>
        </w:rPr>
      </w:pPr>
      <w:r>
        <w:rPr>
          <w:rFonts w:ascii="Times New Roman" w:hAnsi="Times New Roman" w:cs="Times New Roman"/>
          <w:b/>
          <w:bCs/>
          <w:sz w:val="24"/>
          <w:szCs w:val="24"/>
        </w:rPr>
        <w:t xml:space="preserve">Supplementary Material </w:t>
      </w:r>
      <w:r w:rsidR="00E63048" w:rsidRPr="009A03AE">
        <w:rPr>
          <w:rFonts w:ascii="Times New Roman" w:hAnsi="Times New Roman" w:cs="Times New Roman"/>
          <w:b/>
          <w:bCs/>
          <w:sz w:val="24"/>
          <w:szCs w:val="24"/>
        </w:rPr>
        <w:t xml:space="preserve">1. </w:t>
      </w:r>
      <w:r w:rsidR="00B11755" w:rsidRPr="009A03AE">
        <w:rPr>
          <w:rFonts w:ascii="Times New Roman" w:hAnsi="Times New Roman" w:cs="Times New Roman"/>
          <w:b/>
          <w:bCs/>
          <w:sz w:val="24"/>
          <w:szCs w:val="24"/>
        </w:rPr>
        <w:t>Schematic representation of the modeling approach</w:t>
      </w:r>
    </w:p>
    <w:p w14:paraId="40655CDE" w14:textId="77777777" w:rsidR="00567FF9" w:rsidRPr="005B6053" w:rsidRDefault="00567FF9" w:rsidP="00567FF9">
      <w:pPr>
        <w:pStyle w:val="para"/>
        <w:spacing w:before="0" w:beforeAutospacing="0" w:after="0" w:afterAutospacing="0"/>
        <w:contextualSpacing/>
      </w:pPr>
    </w:p>
    <w:p w14:paraId="09EB9040" w14:textId="4A7CF395" w:rsidR="00E60800" w:rsidRPr="009A03AE" w:rsidRDefault="00BC6036" w:rsidP="00FF1551">
      <w:pPr>
        <w:pStyle w:val="para"/>
        <w:spacing w:before="0" w:beforeAutospacing="0" w:after="0" w:afterAutospacing="0"/>
        <w:contextualSpacing/>
        <w:rPr>
          <w:lang w:val="en-GB"/>
        </w:rPr>
      </w:pPr>
      <w:r w:rsidRPr="009A03AE">
        <w:rPr>
          <w:lang w:val="en-GB"/>
        </w:rPr>
        <w:t xml:space="preserve">We </w:t>
      </w:r>
      <w:r w:rsidR="00E56671" w:rsidRPr="009A03AE">
        <w:rPr>
          <w:lang w:val="en-GB"/>
        </w:rPr>
        <w:t>adapted</w:t>
      </w:r>
      <w:r w:rsidRPr="009A03AE">
        <w:rPr>
          <w:lang w:val="en-GB"/>
        </w:rPr>
        <w:t xml:space="preserve"> an age-specific, deterministic compartmental model to capture the epidemiological dynamics of SARS-CoV-2 and the situation facing COVID-19 control decision-making in </w:t>
      </w:r>
      <w:r w:rsidR="00FD0176" w:rsidRPr="009A03AE">
        <w:rPr>
          <w:lang w:val="en-GB"/>
        </w:rPr>
        <w:t>the Republic of</w:t>
      </w:r>
      <w:r w:rsidRPr="009A03AE">
        <w:rPr>
          <w:lang w:val="en-GB"/>
        </w:rPr>
        <w:t xml:space="preserve"> Korea during the pandemic (1 July 2021-21 November 2021) and 13 months into the future (22 November 2021 – </w:t>
      </w:r>
      <w:bookmarkStart w:id="0" w:name="_Hlk92953121"/>
      <w:r w:rsidRPr="009A03AE">
        <w:rPr>
          <w:lang w:val="en-GB"/>
        </w:rPr>
        <w:t>31 December 2022</w:t>
      </w:r>
      <w:bookmarkEnd w:id="0"/>
      <w:r w:rsidRPr="009A03AE">
        <w:rPr>
          <w:lang w:val="en-GB"/>
        </w:rPr>
        <w:t xml:space="preserve">). </w:t>
      </w:r>
      <w:r w:rsidR="008A5CCD" w:rsidRPr="009A03AE">
        <w:rPr>
          <w:lang w:val="en-GB"/>
        </w:rPr>
        <w:t xml:space="preserve">For this study, we used the </w:t>
      </w:r>
      <w:r w:rsidR="00D8092C" w:rsidRPr="009A03AE">
        <w:rPr>
          <w:lang w:val="en-GB"/>
        </w:rPr>
        <w:t>estimated model outputs between January 2022 -December 2022</w:t>
      </w:r>
      <w:r w:rsidR="00D8092C" w:rsidRPr="009A03AE">
        <w:rPr>
          <w:b/>
          <w:bCs/>
          <w:lang w:val="en-GB"/>
        </w:rPr>
        <w:t>.</w:t>
      </w:r>
      <w:r w:rsidR="00DD7CAA" w:rsidRPr="009A03AE">
        <w:rPr>
          <w:b/>
          <w:bCs/>
          <w:lang w:val="en-GB"/>
        </w:rPr>
        <w:t>[1]</w:t>
      </w:r>
      <w:r w:rsidR="00D8092C" w:rsidRPr="009A03AE">
        <w:rPr>
          <w:lang w:val="en-GB"/>
        </w:rPr>
        <w:t xml:space="preserve"> </w:t>
      </w:r>
      <w:r w:rsidRPr="009A03AE">
        <w:rPr>
          <w:lang w:val="en-GB"/>
        </w:rPr>
        <w:t xml:space="preserve">The model comprised </w:t>
      </w:r>
      <w:r w:rsidR="000F0B55" w:rsidRPr="009A03AE">
        <w:rPr>
          <w:lang w:val="en-GB"/>
        </w:rPr>
        <w:t>twelve</w:t>
      </w:r>
      <w:r w:rsidRPr="009A03AE">
        <w:rPr>
          <w:lang w:val="en-GB"/>
        </w:rPr>
        <w:t xml:space="preserve"> disease-related states: uninfected, exposed, asymptomatic, </w:t>
      </w:r>
      <w:r w:rsidR="000F0B55" w:rsidRPr="009A03AE">
        <w:rPr>
          <w:lang w:val="en-GB"/>
        </w:rPr>
        <w:t>true positive</w:t>
      </w:r>
      <w:r w:rsidRPr="009A03AE">
        <w:rPr>
          <w:lang w:val="en-GB"/>
        </w:rPr>
        <w:t xml:space="preserve">, symptomatic, </w:t>
      </w:r>
      <w:r w:rsidR="000F0B55" w:rsidRPr="009A03AE">
        <w:rPr>
          <w:lang w:val="en-GB"/>
        </w:rPr>
        <w:t xml:space="preserve">hospitalized, </w:t>
      </w:r>
      <w:r w:rsidRPr="009A03AE">
        <w:rPr>
          <w:lang w:val="en-GB"/>
        </w:rPr>
        <w:t>recovered, dead, and vaccinated.</w:t>
      </w:r>
      <w:r w:rsidR="00567FF9" w:rsidRPr="009A03AE">
        <w:rPr>
          <w:lang w:val="en-GB"/>
        </w:rPr>
        <w:t xml:space="preserve"> (A. Model)</w:t>
      </w:r>
      <w:r w:rsidRPr="009A03AE">
        <w:rPr>
          <w:lang w:val="en-GB"/>
        </w:rPr>
        <w:t xml:space="preserve"> In this model, </w:t>
      </w:r>
      <w:r w:rsidR="00A035BD" w:rsidRPr="009A03AE">
        <w:rPr>
          <w:lang w:val="en-GB"/>
        </w:rPr>
        <w:t xml:space="preserve">both </w:t>
      </w:r>
      <w:r w:rsidRPr="009A03AE">
        <w:rPr>
          <w:lang w:val="en-GB"/>
        </w:rPr>
        <w:t>the</w:t>
      </w:r>
      <w:r w:rsidR="00A035BD" w:rsidRPr="009A03AE">
        <w:rPr>
          <w:lang w:val="en-GB"/>
        </w:rPr>
        <w:t xml:space="preserve"> vaccinated and</w:t>
      </w:r>
      <w:r w:rsidRPr="009A03AE">
        <w:rPr>
          <w:lang w:val="en-GB"/>
        </w:rPr>
        <w:t xml:space="preserve"> unvaccinated susceptible population</w:t>
      </w:r>
      <w:r w:rsidR="009202ED" w:rsidRPr="009A03AE">
        <w:rPr>
          <w:lang w:val="en-GB"/>
        </w:rPr>
        <w:t>s</w:t>
      </w:r>
      <w:r w:rsidRPr="009A03AE">
        <w:rPr>
          <w:lang w:val="en-GB"/>
        </w:rPr>
        <w:t xml:space="preserve"> may be exposed and develop COVID-19 infection, which becomes detected by mass screening/testing and develop symptoms. Infected populations include asymptomatic (undetected/test positive) and symptomatic (detected) populations, and we assumed those who are test positive to be isolated and not to contribute to the transmission. We considered the natural recovery of the infected population and progression from asymptomatic to symptomatic groups. The symptomatic population will be either recovered or COVID-19 related dead. </w:t>
      </w:r>
      <w:r w:rsidR="00567FF9" w:rsidRPr="009A03AE">
        <w:rPr>
          <w:lang w:val="en-GB"/>
        </w:rPr>
        <w:t>The population was subdivided into four groups based on age: 0-19 years, 20-39 years, 40-59 years, 60 years and above, and assumed age-specific contact patterns based on the published reference. (B. Age contact matrix)</w:t>
      </w:r>
      <w:r w:rsidR="00567FF9" w:rsidRPr="009A03AE" w:rsidDel="00A35941">
        <w:rPr>
          <w:lang w:val="en-GB"/>
        </w:rPr>
        <w:t xml:space="preserve"> </w:t>
      </w:r>
      <w:r w:rsidR="00057831" w:rsidRPr="009A03AE">
        <w:rPr>
          <w:lang w:val="en-GB"/>
        </w:rPr>
        <w:t xml:space="preserve">For each target scenario (all adult patients, elderly patients, adult patients with underlying diseases), we changed the </w:t>
      </w:r>
      <w:r w:rsidR="00057831" w:rsidRPr="009A03AE">
        <w:t xml:space="preserve">rate at which symptomatic individuals </w:t>
      </w:r>
      <w:r w:rsidR="00722484" w:rsidRPr="009A03AE">
        <w:t>being</w:t>
      </w:r>
      <w:r w:rsidR="00057831" w:rsidRPr="009A03AE">
        <w:t xml:space="preserve"> admitted to hospital</w:t>
      </w:r>
      <w:r w:rsidR="00057831" w:rsidRPr="009A03AE">
        <w:rPr>
          <w:lang w:val="en-GB"/>
        </w:rPr>
        <w:t xml:space="preserve"> (</w:t>
      </w:r>
      <w:r w:rsidR="00057831" w:rsidRPr="009A03AE">
        <w:t xml:space="preserve">α) with different efficacy </w:t>
      </w:r>
      <w:r w:rsidR="00722484" w:rsidRPr="009A03AE">
        <w:t>levels</w:t>
      </w:r>
      <w:r w:rsidR="00057831" w:rsidRPr="009A03AE">
        <w:t xml:space="preserve"> by treatment scenarios. </w:t>
      </w:r>
    </w:p>
    <w:p w14:paraId="04199C03" w14:textId="77777777" w:rsidR="00E60800" w:rsidRPr="009A03AE" w:rsidRDefault="00E60800" w:rsidP="00B11755">
      <w:pPr>
        <w:spacing w:after="0"/>
        <w:rPr>
          <w:rFonts w:ascii="Times New Roman" w:hAnsi="Times New Roman" w:cs="Times New Roman"/>
          <w:b/>
          <w:bCs/>
          <w:sz w:val="24"/>
          <w:szCs w:val="24"/>
        </w:rPr>
      </w:pPr>
    </w:p>
    <w:tbl>
      <w:tblPr>
        <w:tblStyle w:val="a3"/>
        <w:tblW w:w="1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5"/>
        <w:gridCol w:w="2435"/>
      </w:tblGrid>
      <w:tr w:rsidR="009A03AE" w:rsidRPr="009A03AE" w14:paraId="74F7742C" w14:textId="77777777" w:rsidTr="00AD3354">
        <w:trPr>
          <w:trHeight w:val="238"/>
        </w:trPr>
        <w:tc>
          <w:tcPr>
            <w:tcW w:w="11957" w:type="dxa"/>
          </w:tcPr>
          <w:p w14:paraId="581BAB38" w14:textId="77777777" w:rsidR="00BF30B6" w:rsidRPr="009A03AE" w:rsidRDefault="00BF30B6" w:rsidP="00BF30B6">
            <w:pPr>
              <w:pStyle w:val="a4"/>
              <w:numPr>
                <w:ilvl w:val="0"/>
                <w:numId w:val="1"/>
              </w:numPr>
              <w:rPr>
                <w:rFonts w:ascii="Times New Roman" w:hAnsi="Times New Roman" w:cs="Times New Roman"/>
                <w:sz w:val="24"/>
                <w:szCs w:val="24"/>
              </w:rPr>
            </w:pPr>
            <w:r w:rsidRPr="009A03AE">
              <w:rPr>
                <w:rFonts w:ascii="Times New Roman" w:hAnsi="Times New Roman" w:cs="Times New Roman"/>
                <w:sz w:val="24"/>
                <w:szCs w:val="24"/>
              </w:rPr>
              <w:t xml:space="preserve">Model </w:t>
            </w:r>
          </w:p>
          <w:p w14:paraId="68C4FDB9" w14:textId="4C50F033" w:rsidR="00BA1C4C" w:rsidRPr="009A03AE" w:rsidRDefault="00BA1C4C" w:rsidP="00BA1C4C">
            <w:pPr>
              <w:pStyle w:val="a4"/>
              <w:ind w:left="360"/>
              <w:rPr>
                <w:rFonts w:ascii="Times New Roman" w:hAnsi="Times New Roman" w:cs="Times New Roman"/>
                <w:sz w:val="24"/>
                <w:szCs w:val="24"/>
              </w:rPr>
            </w:pPr>
          </w:p>
        </w:tc>
        <w:tc>
          <w:tcPr>
            <w:tcW w:w="2433" w:type="dxa"/>
          </w:tcPr>
          <w:p w14:paraId="684688B5" w14:textId="5DC5A6A7" w:rsidR="00BF30B6" w:rsidRPr="009A03AE" w:rsidRDefault="000B0D83" w:rsidP="000B0D83">
            <w:pPr>
              <w:pStyle w:val="a4"/>
              <w:numPr>
                <w:ilvl w:val="0"/>
                <w:numId w:val="1"/>
              </w:numPr>
              <w:rPr>
                <w:rFonts w:ascii="Times New Roman" w:hAnsi="Times New Roman" w:cs="Times New Roman"/>
                <w:sz w:val="24"/>
                <w:szCs w:val="24"/>
              </w:rPr>
            </w:pPr>
            <w:r w:rsidRPr="009A03AE">
              <w:rPr>
                <w:rFonts w:ascii="Times New Roman" w:hAnsi="Times New Roman" w:cs="Times New Roman"/>
                <w:sz w:val="24"/>
                <w:szCs w:val="24"/>
              </w:rPr>
              <w:t>Age contact matrix</w:t>
            </w:r>
          </w:p>
        </w:tc>
      </w:tr>
      <w:tr w:rsidR="00901AE6" w:rsidRPr="009A03AE" w14:paraId="257C5599" w14:textId="77777777" w:rsidTr="00AD3354">
        <w:trPr>
          <w:trHeight w:val="2402"/>
        </w:trPr>
        <w:tc>
          <w:tcPr>
            <w:tcW w:w="11957" w:type="dxa"/>
          </w:tcPr>
          <w:p w14:paraId="5430B5D1" w14:textId="6A7087E1" w:rsidR="002C53D1" w:rsidRPr="009A03AE" w:rsidRDefault="00F40D45" w:rsidP="002C53D1">
            <w:r w:rsidRPr="009A03AE">
              <w:rPr>
                <w:noProof/>
              </w:rPr>
              <w:drawing>
                <wp:inline distT="0" distB="0" distL="0" distR="0" wp14:anchorId="0E1A2D81" wp14:editId="7C78E246">
                  <wp:extent cx="7496175" cy="178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1031" cy="1801901"/>
                          </a:xfrm>
                          <a:prstGeom prst="rect">
                            <a:avLst/>
                          </a:prstGeom>
                          <a:noFill/>
                        </pic:spPr>
                      </pic:pic>
                    </a:graphicData>
                  </a:graphic>
                </wp:inline>
              </w:drawing>
            </w:r>
          </w:p>
        </w:tc>
        <w:tc>
          <w:tcPr>
            <w:tcW w:w="2433" w:type="dxa"/>
          </w:tcPr>
          <w:p w14:paraId="4FD8AF73" w14:textId="77777777" w:rsidR="002C53D1" w:rsidRPr="009A03AE" w:rsidRDefault="002C53D1"/>
          <w:p w14:paraId="7C427E66" w14:textId="41480B1E" w:rsidR="002C53D1" w:rsidRPr="009A03AE" w:rsidRDefault="002C53D1" w:rsidP="002C53D1">
            <w:pPr>
              <w:jc w:val="center"/>
            </w:pPr>
            <w:r w:rsidRPr="009A03AE">
              <w:rPr>
                <w:noProof/>
              </w:rPr>
              <w:drawing>
                <wp:inline distT="0" distB="0" distL="0" distR="0" wp14:anchorId="05CA747C" wp14:editId="6F114761">
                  <wp:extent cx="1415415" cy="1233755"/>
                  <wp:effectExtent l="0" t="0" r="0" b="5080"/>
                  <wp:docPr id="16" name="Picture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C2C447-1D7E-4F63-B591-D06B42A08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C2C447-1D7E-4F63-B591-D06B42A08032}"/>
                              </a:ext>
                            </a:extLst>
                          </pic:cNvPr>
                          <pic:cNvPicPr>
                            <a:picLocks noChangeAspect="1"/>
                          </pic:cNvPicPr>
                        </pic:nvPicPr>
                        <pic:blipFill>
                          <a:blip r:embed="rId9"/>
                          <a:stretch>
                            <a:fillRect/>
                          </a:stretch>
                        </pic:blipFill>
                        <pic:spPr>
                          <a:xfrm>
                            <a:off x="0" y="0"/>
                            <a:ext cx="1441376" cy="1256384"/>
                          </a:xfrm>
                          <a:prstGeom prst="rect">
                            <a:avLst/>
                          </a:prstGeom>
                        </pic:spPr>
                      </pic:pic>
                    </a:graphicData>
                  </a:graphic>
                </wp:inline>
              </w:drawing>
            </w:r>
          </w:p>
          <w:p w14:paraId="6BBBFA40" w14:textId="7E4D7305" w:rsidR="002C53D1" w:rsidRPr="009A03AE" w:rsidRDefault="002C53D1"/>
        </w:tc>
      </w:tr>
    </w:tbl>
    <w:p w14:paraId="066C928E" w14:textId="77777777" w:rsidR="000C1354" w:rsidRPr="009A03AE" w:rsidRDefault="000C1354" w:rsidP="00D24988">
      <w:pPr>
        <w:spacing w:after="0"/>
        <w:rPr>
          <w:b/>
          <w:bCs/>
        </w:rPr>
      </w:pPr>
    </w:p>
    <w:tbl>
      <w:tblPr>
        <w:tblStyle w:val="a3"/>
        <w:tblW w:w="14374" w:type="dxa"/>
        <w:tblLook w:val="04A0" w:firstRow="1" w:lastRow="0" w:firstColumn="1" w:lastColumn="0" w:noHBand="0" w:noVBand="1"/>
      </w:tblPr>
      <w:tblGrid>
        <w:gridCol w:w="650"/>
        <w:gridCol w:w="13724"/>
      </w:tblGrid>
      <w:tr w:rsidR="009A03AE" w:rsidRPr="009A03AE" w14:paraId="609A2984" w14:textId="77777777" w:rsidTr="00FF1551">
        <w:trPr>
          <w:trHeight w:val="172"/>
        </w:trPr>
        <w:tc>
          <w:tcPr>
            <w:tcW w:w="14374" w:type="dxa"/>
            <w:gridSpan w:val="2"/>
          </w:tcPr>
          <w:p w14:paraId="4AE57A85" w14:textId="4A39D807" w:rsidR="00FF1551" w:rsidRPr="009A03AE" w:rsidRDefault="00FF1551" w:rsidP="00B7497F">
            <w:pPr>
              <w:rPr>
                <w:rFonts w:ascii="Times New Roman" w:hAnsi="Times New Roman" w:cs="Times New Roman"/>
                <w:b/>
                <w:bCs/>
                <w:noProof/>
                <w:sz w:val="24"/>
                <w:szCs w:val="24"/>
              </w:rPr>
            </w:pPr>
            <w:r w:rsidRPr="009A03AE">
              <w:rPr>
                <w:rFonts w:ascii="Times New Roman" w:hAnsi="Times New Roman" w:cs="Times New Roman"/>
                <w:b/>
                <w:bCs/>
                <w:noProof/>
                <w:sz w:val="24"/>
                <w:szCs w:val="24"/>
              </w:rPr>
              <w:t>Model parameters</w:t>
            </w:r>
          </w:p>
        </w:tc>
      </w:tr>
      <w:tr w:rsidR="009A03AE" w:rsidRPr="009A03AE" w14:paraId="30B337F3" w14:textId="77777777" w:rsidTr="00FF1551">
        <w:trPr>
          <w:trHeight w:val="184"/>
        </w:trPr>
        <w:tc>
          <w:tcPr>
            <w:tcW w:w="650" w:type="dxa"/>
          </w:tcPr>
          <w:p w14:paraId="153787B2"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t>V</w:t>
            </w:r>
          </w:p>
        </w:tc>
        <w:tc>
          <w:tcPr>
            <w:tcW w:w="13724" w:type="dxa"/>
          </w:tcPr>
          <w:p w14:paraId="0E5D69DF"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t>Uninfected, vaccinated individuals</w:t>
            </w:r>
          </w:p>
        </w:tc>
      </w:tr>
      <w:tr w:rsidR="009A03AE" w:rsidRPr="009A03AE" w14:paraId="5685F5D1" w14:textId="77777777" w:rsidTr="00FF1551">
        <w:trPr>
          <w:trHeight w:val="172"/>
        </w:trPr>
        <w:tc>
          <w:tcPr>
            <w:tcW w:w="650" w:type="dxa"/>
          </w:tcPr>
          <w:p w14:paraId="667637FF"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U</w:t>
            </w:r>
          </w:p>
        </w:tc>
        <w:tc>
          <w:tcPr>
            <w:tcW w:w="13724" w:type="dxa"/>
          </w:tcPr>
          <w:p w14:paraId="604F1FDB"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Uninfected, susceptible individuals</w:t>
            </w:r>
          </w:p>
        </w:tc>
      </w:tr>
      <w:tr w:rsidR="009A03AE" w:rsidRPr="009A03AE" w14:paraId="359F97AB" w14:textId="77777777" w:rsidTr="00FF1551">
        <w:trPr>
          <w:trHeight w:val="184"/>
        </w:trPr>
        <w:tc>
          <w:tcPr>
            <w:tcW w:w="650" w:type="dxa"/>
          </w:tcPr>
          <w:p w14:paraId="6C3423EC"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E</w:t>
            </w:r>
          </w:p>
        </w:tc>
        <w:tc>
          <w:tcPr>
            <w:tcW w:w="13724" w:type="dxa"/>
          </w:tcPr>
          <w:p w14:paraId="2752FC23"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Exposed, asymptomatic, non-infectious</w:t>
            </w:r>
          </w:p>
        </w:tc>
      </w:tr>
      <w:tr w:rsidR="009A03AE" w:rsidRPr="009A03AE" w14:paraId="2C9E7F80" w14:textId="77777777" w:rsidTr="00FF1551">
        <w:trPr>
          <w:trHeight w:val="172"/>
        </w:trPr>
        <w:tc>
          <w:tcPr>
            <w:tcW w:w="650" w:type="dxa"/>
          </w:tcPr>
          <w:p w14:paraId="468A4380"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A</w:t>
            </w:r>
          </w:p>
        </w:tc>
        <w:tc>
          <w:tcPr>
            <w:tcW w:w="13724" w:type="dxa"/>
          </w:tcPr>
          <w:p w14:paraId="414C712C"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Infected, asymptomatic non-infectious and non-symptomatic (test negative, if screened)</w:t>
            </w:r>
          </w:p>
        </w:tc>
      </w:tr>
      <w:tr w:rsidR="009A03AE" w:rsidRPr="009A03AE" w14:paraId="11F25F8D" w14:textId="77777777" w:rsidTr="00FF1551">
        <w:trPr>
          <w:trHeight w:val="184"/>
        </w:trPr>
        <w:tc>
          <w:tcPr>
            <w:tcW w:w="650" w:type="dxa"/>
          </w:tcPr>
          <w:p w14:paraId="578E1529"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TP</w:t>
            </w:r>
          </w:p>
        </w:tc>
        <w:tc>
          <w:tcPr>
            <w:tcW w:w="13724" w:type="dxa"/>
          </w:tcPr>
          <w:p w14:paraId="00CEA090"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 xml:space="preserve">Infected, asymptomatic, (true) positive test result </w:t>
            </w:r>
            <w:r w:rsidRPr="009A03AE">
              <w:rPr>
                <w:rFonts w:ascii="Times New Roman" w:hAnsi="Times New Roman" w:cs="Times New Roman"/>
                <w:sz w:val="24"/>
                <w:szCs w:val="24"/>
              </w:rPr>
              <w:sym w:font="Wingdings" w:char="F0E0"/>
            </w:r>
            <w:r w:rsidRPr="009A03AE">
              <w:rPr>
                <w:rFonts w:ascii="Times New Roman" w:hAnsi="Times New Roman" w:cs="Times New Roman"/>
                <w:sz w:val="24"/>
                <w:szCs w:val="24"/>
              </w:rPr>
              <w:t xml:space="preserve"> isolated from the active transmission</w:t>
            </w:r>
          </w:p>
        </w:tc>
      </w:tr>
      <w:tr w:rsidR="009A03AE" w:rsidRPr="009A03AE" w14:paraId="2B6BD864" w14:textId="77777777" w:rsidTr="00FF1551">
        <w:trPr>
          <w:trHeight w:val="172"/>
        </w:trPr>
        <w:tc>
          <w:tcPr>
            <w:tcW w:w="650" w:type="dxa"/>
          </w:tcPr>
          <w:p w14:paraId="1A485049"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S</w:t>
            </w:r>
          </w:p>
        </w:tc>
        <w:tc>
          <w:tcPr>
            <w:tcW w:w="13724" w:type="dxa"/>
          </w:tcPr>
          <w:p w14:paraId="633CB801"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 xml:space="preserve">Infected, symptomatic (true) positive test result </w:t>
            </w:r>
            <w:r w:rsidRPr="009A03AE">
              <w:rPr>
                <w:rFonts w:ascii="Times New Roman" w:hAnsi="Times New Roman" w:cs="Times New Roman"/>
                <w:sz w:val="24"/>
                <w:szCs w:val="24"/>
              </w:rPr>
              <w:sym w:font="Wingdings" w:char="F0E0"/>
            </w:r>
            <w:r w:rsidRPr="009A03AE">
              <w:rPr>
                <w:rFonts w:ascii="Times New Roman" w:hAnsi="Times New Roman" w:cs="Times New Roman"/>
                <w:sz w:val="24"/>
                <w:szCs w:val="24"/>
              </w:rPr>
              <w:t xml:space="preserve"> isolated from the active transmission</w:t>
            </w:r>
          </w:p>
        </w:tc>
      </w:tr>
      <w:tr w:rsidR="009A03AE" w:rsidRPr="009A03AE" w14:paraId="2428A82E" w14:textId="77777777" w:rsidTr="00FF1551">
        <w:trPr>
          <w:trHeight w:val="184"/>
        </w:trPr>
        <w:tc>
          <w:tcPr>
            <w:tcW w:w="650" w:type="dxa"/>
          </w:tcPr>
          <w:p w14:paraId="63594433"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lastRenderedPageBreak/>
              <w:t>R</w:t>
            </w:r>
          </w:p>
        </w:tc>
        <w:tc>
          <w:tcPr>
            <w:tcW w:w="13724" w:type="dxa"/>
          </w:tcPr>
          <w:p w14:paraId="729A4A7E"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Recovered (assuming immune for 1 year; no role in the system)</w:t>
            </w:r>
          </w:p>
        </w:tc>
      </w:tr>
      <w:tr w:rsidR="009A03AE" w:rsidRPr="009A03AE" w14:paraId="5B8A2441" w14:textId="77777777" w:rsidTr="00FF1551">
        <w:trPr>
          <w:trHeight w:val="172"/>
        </w:trPr>
        <w:tc>
          <w:tcPr>
            <w:tcW w:w="650" w:type="dxa"/>
          </w:tcPr>
          <w:p w14:paraId="46C8AF79"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D</w:t>
            </w:r>
          </w:p>
        </w:tc>
        <w:tc>
          <w:tcPr>
            <w:tcW w:w="13724" w:type="dxa"/>
          </w:tcPr>
          <w:p w14:paraId="1C0088BB"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Dead</w:t>
            </w:r>
          </w:p>
        </w:tc>
      </w:tr>
      <w:tr w:rsidR="009A03AE" w:rsidRPr="009A03AE" w14:paraId="7CD8D25A" w14:textId="77777777" w:rsidTr="00FF1551">
        <w:trPr>
          <w:trHeight w:val="184"/>
        </w:trPr>
        <w:tc>
          <w:tcPr>
            <w:tcW w:w="650" w:type="dxa"/>
          </w:tcPr>
          <w:p w14:paraId="5D9DC5E7"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β</w:t>
            </w:r>
          </w:p>
        </w:tc>
        <w:tc>
          <w:tcPr>
            <w:tcW w:w="13724" w:type="dxa"/>
          </w:tcPr>
          <w:p w14:paraId="08BE052A"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rate at which infected individuals contact susceptible and infect them</w:t>
            </w:r>
          </w:p>
        </w:tc>
      </w:tr>
      <w:tr w:rsidR="009A03AE" w:rsidRPr="009A03AE" w14:paraId="241A013E" w14:textId="77777777" w:rsidTr="00FF1551">
        <w:trPr>
          <w:trHeight w:val="184"/>
        </w:trPr>
        <w:tc>
          <w:tcPr>
            <w:tcW w:w="650" w:type="dxa"/>
          </w:tcPr>
          <w:p w14:paraId="250ACC72"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α</w:t>
            </w:r>
          </w:p>
        </w:tc>
        <w:tc>
          <w:tcPr>
            <w:tcW w:w="13724" w:type="dxa"/>
          </w:tcPr>
          <w:p w14:paraId="2A51EDBC"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rate at which symptomatic individuals being admitted to hospital</w:t>
            </w:r>
          </w:p>
        </w:tc>
      </w:tr>
      <w:tr w:rsidR="009A03AE" w:rsidRPr="009A03AE" w14:paraId="1CEB2E62" w14:textId="77777777" w:rsidTr="00FF1551">
        <w:trPr>
          <w:trHeight w:val="172"/>
        </w:trPr>
        <w:tc>
          <w:tcPr>
            <w:tcW w:w="650" w:type="dxa"/>
          </w:tcPr>
          <w:p w14:paraId="14AE66FE"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sym w:font="Symbol" w:char="F074"/>
            </w:r>
          </w:p>
        </w:tc>
        <w:tc>
          <w:tcPr>
            <w:tcW w:w="13724" w:type="dxa"/>
          </w:tcPr>
          <w:p w14:paraId="01B1CBFC"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t>rate at which individuals being screened and tested</w:t>
            </w:r>
          </w:p>
        </w:tc>
      </w:tr>
      <w:tr w:rsidR="009A03AE" w:rsidRPr="009A03AE" w14:paraId="2AF67D55" w14:textId="77777777" w:rsidTr="00FF1551">
        <w:trPr>
          <w:trHeight w:val="184"/>
        </w:trPr>
        <w:tc>
          <w:tcPr>
            <w:tcW w:w="650" w:type="dxa"/>
          </w:tcPr>
          <w:p w14:paraId="055F230D"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sym w:font="Symbol" w:char="F071"/>
            </w:r>
          </w:p>
        </w:tc>
        <w:tc>
          <w:tcPr>
            <w:tcW w:w="13724" w:type="dxa"/>
          </w:tcPr>
          <w:p w14:paraId="2DD04BBE"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t>rate at which exposed individuals advance to the asymptomatic, infectious compartment</w:t>
            </w:r>
          </w:p>
        </w:tc>
      </w:tr>
      <w:tr w:rsidR="009A03AE" w:rsidRPr="009A03AE" w14:paraId="5C6BE55B" w14:textId="77777777" w:rsidTr="00FF1551">
        <w:trPr>
          <w:trHeight w:val="172"/>
        </w:trPr>
        <w:tc>
          <w:tcPr>
            <w:tcW w:w="650" w:type="dxa"/>
          </w:tcPr>
          <w:p w14:paraId="4D330064"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sym w:font="Symbol" w:char="F064"/>
            </w:r>
          </w:p>
        </w:tc>
        <w:tc>
          <w:tcPr>
            <w:tcW w:w="13724" w:type="dxa"/>
          </w:tcPr>
          <w:p w14:paraId="38A2E65A"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t>rate at which individuals in the symptomatic compartment die</w:t>
            </w:r>
          </w:p>
        </w:tc>
      </w:tr>
      <w:tr w:rsidR="009A03AE" w:rsidRPr="009A03AE" w14:paraId="5C062C81" w14:textId="77777777" w:rsidTr="00FF1551">
        <w:trPr>
          <w:trHeight w:val="184"/>
        </w:trPr>
        <w:tc>
          <w:tcPr>
            <w:tcW w:w="650" w:type="dxa"/>
          </w:tcPr>
          <w:p w14:paraId="324ACC05"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sym w:font="Symbol" w:char="F072"/>
            </w:r>
          </w:p>
        </w:tc>
        <w:tc>
          <w:tcPr>
            <w:tcW w:w="13724" w:type="dxa"/>
          </w:tcPr>
          <w:p w14:paraId="7A81AE3C"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t xml:space="preserve">rate at which infected individuals recover from disease and are removed </w:t>
            </w:r>
          </w:p>
        </w:tc>
      </w:tr>
      <w:tr w:rsidR="009A03AE" w:rsidRPr="009A03AE" w14:paraId="7B63555C" w14:textId="77777777" w:rsidTr="00FF1551">
        <w:trPr>
          <w:trHeight w:val="184"/>
        </w:trPr>
        <w:tc>
          <w:tcPr>
            <w:tcW w:w="650" w:type="dxa"/>
          </w:tcPr>
          <w:p w14:paraId="73E642AD"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sym w:font="Symbol" w:char="F073"/>
            </w:r>
          </w:p>
        </w:tc>
        <w:tc>
          <w:tcPr>
            <w:tcW w:w="13724" w:type="dxa"/>
          </w:tcPr>
          <w:p w14:paraId="6398E3AD"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rate of symptom onset for infected individuals</w:t>
            </w:r>
          </w:p>
        </w:tc>
      </w:tr>
      <w:tr w:rsidR="009A03AE" w:rsidRPr="009A03AE" w14:paraId="7197AFDA" w14:textId="77777777" w:rsidTr="00FF1551">
        <w:trPr>
          <w:trHeight w:val="172"/>
        </w:trPr>
        <w:tc>
          <w:tcPr>
            <w:tcW w:w="650" w:type="dxa"/>
          </w:tcPr>
          <w:p w14:paraId="2CCEB1BE"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Se</w:t>
            </w:r>
          </w:p>
        </w:tc>
        <w:tc>
          <w:tcPr>
            <w:tcW w:w="13724" w:type="dxa"/>
          </w:tcPr>
          <w:p w14:paraId="1085A1AA"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sensitivity of the screening test</w:t>
            </w:r>
          </w:p>
        </w:tc>
      </w:tr>
      <w:tr w:rsidR="009A03AE" w:rsidRPr="009A03AE" w14:paraId="21F4CDDA" w14:textId="77777777" w:rsidTr="00FF1551">
        <w:trPr>
          <w:trHeight w:val="172"/>
        </w:trPr>
        <w:tc>
          <w:tcPr>
            <w:tcW w:w="650" w:type="dxa"/>
          </w:tcPr>
          <w:p w14:paraId="634227C4" w14:textId="77777777" w:rsidR="00FF1551" w:rsidRPr="009A03AE" w:rsidRDefault="00FF1551" w:rsidP="00B7497F">
            <w:pPr>
              <w:rPr>
                <w:rFonts w:ascii="Times New Roman" w:hAnsi="Times New Roman" w:cs="Times New Roman"/>
                <w:noProof/>
                <w:sz w:val="24"/>
                <w:szCs w:val="24"/>
              </w:rPr>
            </w:pPr>
            <w:r w:rsidRPr="009A03AE">
              <w:rPr>
                <w:rFonts w:ascii="Times New Roman" w:hAnsi="Times New Roman" w:cs="Times New Roman"/>
                <w:sz w:val="24"/>
                <w:szCs w:val="24"/>
              </w:rPr>
              <w:t>ν</w:t>
            </w:r>
          </w:p>
        </w:tc>
        <w:tc>
          <w:tcPr>
            <w:tcW w:w="13724" w:type="dxa"/>
          </w:tcPr>
          <w:p w14:paraId="7BFC87DB" w14:textId="77777777" w:rsidR="00FF1551" w:rsidRPr="009A03AE" w:rsidRDefault="00FF1551" w:rsidP="00B7497F">
            <w:pPr>
              <w:rPr>
                <w:rFonts w:ascii="Times New Roman" w:hAnsi="Times New Roman" w:cs="Times New Roman"/>
                <w:sz w:val="24"/>
                <w:szCs w:val="24"/>
              </w:rPr>
            </w:pPr>
            <w:r w:rsidRPr="009A03AE">
              <w:rPr>
                <w:rFonts w:ascii="Times New Roman" w:hAnsi="Times New Roman" w:cs="Times New Roman"/>
                <w:sz w:val="24"/>
                <w:szCs w:val="24"/>
              </w:rPr>
              <w:t>rate at which individuals being vaccinated</w:t>
            </w:r>
          </w:p>
        </w:tc>
      </w:tr>
    </w:tbl>
    <w:p w14:paraId="13824931" w14:textId="47F1C9BE" w:rsidR="00FF1551" w:rsidRPr="009A03AE" w:rsidRDefault="00FF1551" w:rsidP="00D24988">
      <w:pPr>
        <w:spacing w:after="0"/>
        <w:rPr>
          <w:rFonts w:hint="eastAsia"/>
          <w:b/>
          <w:bCs/>
        </w:rPr>
        <w:sectPr w:rsidR="00FF1551" w:rsidRPr="009A03AE" w:rsidSect="00EB1EEF">
          <w:footerReference w:type="default" r:id="rId10"/>
          <w:pgSz w:w="15840" w:h="12240" w:orient="landscape"/>
          <w:pgMar w:top="720" w:right="720" w:bottom="720" w:left="720" w:header="720" w:footer="720" w:gutter="0"/>
          <w:cols w:space="720"/>
          <w:docGrid w:linePitch="360"/>
        </w:sectPr>
      </w:pPr>
      <w:bookmarkStart w:id="1" w:name="_GoBack"/>
      <w:bookmarkEnd w:id="1"/>
    </w:p>
    <w:p w14:paraId="630CCEF4" w14:textId="70EB41A0" w:rsidR="00E40F5B" w:rsidRPr="009A03AE" w:rsidRDefault="00E40F5B">
      <w:pPr>
        <w:rPr>
          <w:rFonts w:ascii="Times New Roman" w:hAnsi="Times New Roman" w:cs="Times New Roman" w:hint="eastAsia"/>
        </w:rPr>
      </w:pPr>
    </w:p>
    <w:sectPr w:rsidR="00E40F5B" w:rsidRPr="009A03AE" w:rsidSect="004F512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169A" w14:textId="77777777" w:rsidR="002831AD" w:rsidRDefault="002831AD" w:rsidP="00473619">
      <w:pPr>
        <w:spacing w:after="0" w:line="240" w:lineRule="auto"/>
      </w:pPr>
      <w:r>
        <w:separator/>
      </w:r>
    </w:p>
  </w:endnote>
  <w:endnote w:type="continuationSeparator" w:id="0">
    <w:p w14:paraId="75E46DA3" w14:textId="77777777" w:rsidR="002831AD" w:rsidRDefault="002831AD" w:rsidP="0047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606435"/>
      <w:docPartObj>
        <w:docPartGallery w:val="Page Numbers (Bottom of Page)"/>
        <w:docPartUnique/>
      </w:docPartObj>
    </w:sdtPr>
    <w:sdtEndPr/>
    <w:sdtContent>
      <w:p w14:paraId="62678AF3" w14:textId="76283F79" w:rsidR="00473619" w:rsidRDefault="00473619">
        <w:pPr>
          <w:pStyle w:val="a6"/>
          <w:jc w:val="right"/>
        </w:pPr>
        <w:r>
          <w:fldChar w:fldCharType="begin"/>
        </w:r>
        <w:r>
          <w:instrText>PAGE   \* MERGEFORMAT</w:instrText>
        </w:r>
        <w:r>
          <w:fldChar w:fldCharType="separate"/>
        </w:r>
        <w:r w:rsidR="00C93E11" w:rsidRPr="00C93E11">
          <w:rPr>
            <w:noProof/>
            <w:lang w:val="ko-KR"/>
          </w:rPr>
          <w:t>2</w:t>
        </w:r>
        <w:r>
          <w:fldChar w:fldCharType="end"/>
        </w:r>
      </w:p>
    </w:sdtContent>
  </w:sdt>
  <w:p w14:paraId="6DD0CF56" w14:textId="77777777" w:rsidR="00473619" w:rsidRDefault="004736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17297" w14:textId="77777777" w:rsidR="002831AD" w:rsidRDefault="002831AD" w:rsidP="00473619">
      <w:pPr>
        <w:spacing w:after="0" w:line="240" w:lineRule="auto"/>
      </w:pPr>
      <w:r>
        <w:separator/>
      </w:r>
    </w:p>
  </w:footnote>
  <w:footnote w:type="continuationSeparator" w:id="0">
    <w:p w14:paraId="66008745" w14:textId="77777777" w:rsidR="002831AD" w:rsidRDefault="002831AD" w:rsidP="00473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092A"/>
    <w:multiLevelType w:val="hybridMultilevel"/>
    <w:tmpl w:val="7238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1A4F"/>
    <w:multiLevelType w:val="hybridMultilevel"/>
    <w:tmpl w:val="737CCB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215BF4"/>
    <w:multiLevelType w:val="hybridMultilevel"/>
    <w:tmpl w:val="53FEBD68"/>
    <w:lvl w:ilvl="0" w:tplc="A22AA12A">
      <w:start w:val="2"/>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A57F8E"/>
    <w:multiLevelType w:val="hybridMultilevel"/>
    <w:tmpl w:val="E042F132"/>
    <w:lvl w:ilvl="0" w:tplc="CC0C60E2">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CA487B"/>
    <w:multiLevelType w:val="hybridMultilevel"/>
    <w:tmpl w:val="C9AA20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805425"/>
    <w:multiLevelType w:val="hybridMultilevel"/>
    <w:tmpl w:val="DC064A76"/>
    <w:lvl w:ilvl="0" w:tplc="CD92E496">
      <w:start w:val="3"/>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DA34BA"/>
    <w:multiLevelType w:val="hybridMultilevel"/>
    <w:tmpl w:val="DD162430"/>
    <w:lvl w:ilvl="0" w:tplc="7092F502">
      <w:start w:val="3"/>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xtjQ0NjM3MLWwMDdQ0lEKTi0uzszPAykwNKsFAJ/oNqktAAAA"/>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zxse2ac2200me5wp3vdpwaswsrxtzxzaxs&quot;&gt;My EndNote Library&lt;record-ids&gt;&lt;item&gt;182&lt;/item&gt;&lt;item&gt;203&lt;/item&gt;&lt;item&gt;204&lt;/item&gt;&lt;item&gt;205&lt;/item&gt;&lt;item&gt;206&lt;/item&gt;&lt;item&gt;209&lt;/item&gt;&lt;item&gt;213&lt;/item&gt;&lt;/record-ids&gt;&lt;/item&gt;&lt;/Libraries&gt;"/>
  </w:docVars>
  <w:rsids>
    <w:rsidRoot w:val="0090232E"/>
    <w:rsid w:val="000373D5"/>
    <w:rsid w:val="000422BF"/>
    <w:rsid w:val="000456DC"/>
    <w:rsid w:val="000532D9"/>
    <w:rsid w:val="00057831"/>
    <w:rsid w:val="00070403"/>
    <w:rsid w:val="0007381D"/>
    <w:rsid w:val="000761F9"/>
    <w:rsid w:val="00092CBF"/>
    <w:rsid w:val="000A5651"/>
    <w:rsid w:val="000B0D83"/>
    <w:rsid w:val="000C1354"/>
    <w:rsid w:val="000C2575"/>
    <w:rsid w:val="000F0B55"/>
    <w:rsid w:val="000F3BDA"/>
    <w:rsid w:val="00124753"/>
    <w:rsid w:val="0012591A"/>
    <w:rsid w:val="00152210"/>
    <w:rsid w:val="001525C0"/>
    <w:rsid w:val="00154003"/>
    <w:rsid w:val="0015517E"/>
    <w:rsid w:val="00174DF7"/>
    <w:rsid w:val="00183319"/>
    <w:rsid w:val="0018351A"/>
    <w:rsid w:val="00187AA9"/>
    <w:rsid w:val="001A4F87"/>
    <w:rsid w:val="001B26DD"/>
    <w:rsid w:val="001B2865"/>
    <w:rsid w:val="001C0586"/>
    <w:rsid w:val="001C7F13"/>
    <w:rsid w:val="001D6AD3"/>
    <w:rsid w:val="001E2FC8"/>
    <w:rsid w:val="00220185"/>
    <w:rsid w:val="00222145"/>
    <w:rsid w:val="00225ABF"/>
    <w:rsid w:val="0027325A"/>
    <w:rsid w:val="00276760"/>
    <w:rsid w:val="002831AD"/>
    <w:rsid w:val="00286F85"/>
    <w:rsid w:val="0028703F"/>
    <w:rsid w:val="00291502"/>
    <w:rsid w:val="002A05A4"/>
    <w:rsid w:val="002A5C20"/>
    <w:rsid w:val="002A7AFF"/>
    <w:rsid w:val="002A7D82"/>
    <w:rsid w:val="002B0705"/>
    <w:rsid w:val="002B10F7"/>
    <w:rsid w:val="002C196F"/>
    <w:rsid w:val="002C53D1"/>
    <w:rsid w:val="002D3B3D"/>
    <w:rsid w:val="002D72EB"/>
    <w:rsid w:val="002F6C81"/>
    <w:rsid w:val="003110D0"/>
    <w:rsid w:val="00316874"/>
    <w:rsid w:val="00327A31"/>
    <w:rsid w:val="00331A7F"/>
    <w:rsid w:val="00331F39"/>
    <w:rsid w:val="00344A25"/>
    <w:rsid w:val="00350E38"/>
    <w:rsid w:val="00357C4F"/>
    <w:rsid w:val="0036650E"/>
    <w:rsid w:val="00370EE2"/>
    <w:rsid w:val="00376F50"/>
    <w:rsid w:val="00380117"/>
    <w:rsid w:val="00383B2A"/>
    <w:rsid w:val="00386C0B"/>
    <w:rsid w:val="003953CA"/>
    <w:rsid w:val="003A01B5"/>
    <w:rsid w:val="003A06BA"/>
    <w:rsid w:val="003B71F8"/>
    <w:rsid w:val="003D2155"/>
    <w:rsid w:val="003E7428"/>
    <w:rsid w:val="003F5FD1"/>
    <w:rsid w:val="003F7D0B"/>
    <w:rsid w:val="004038B0"/>
    <w:rsid w:val="004129D3"/>
    <w:rsid w:val="004214FB"/>
    <w:rsid w:val="00426941"/>
    <w:rsid w:val="00435AF5"/>
    <w:rsid w:val="004378B3"/>
    <w:rsid w:val="0044555B"/>
    <w:rsid w:val="00447EDF"/>
    <w:rsid w:val="0047289B"/>
    <w:rsid w:val="00473619"/>
    <w:rsid w:val="004760FC"/>
    <w:rsid w:val="004817BA"/>
    <w:rsid w:val="004A373D"/>
    <w:rsid w:val="004C76FC"/>
    <w:rsid w:val="004C7D41"/>
    <w:rsid w:val="004D6F0D"/>
    <w:rsid w:val="004E15AE"/>
    <w:rsid w:val="004E6059"/>
    <w:rsid w:val="004F250F"/>
    <w:rsid w:val="004F512B"/>
    <w:rsid w:val="00510B36"/>
    <w:rsid w:val="00520019"/>
    <w:rsid w:val="0052726A"/>
    <w:rsid w:val="00533F82"/>
    <w:rsid w:val="00543F63"/>
    <w:rsid w:val="005456A2"/>
    <w:rsid w:val="005561D2"/>
    <w:rsid w:val="00560382"/>
    <w:rsid w:val="00560383"/>
    <w:rsid w:val="00565592"/>
    <w:rsid w:val="00567FF9"/>
    <w:rsid w:val="005B6053"/>
    <w:rsid w:val="005E40DF"/>
    <w:rsid w:val="005F0AB1"/>
    <w:rsid w:val="005F2009"/>
    <w:rsid w:val="005F35E4"/>
    <w:rsid w:val="005F50B3"/>
    <w:rsid w:val="005F5B19"/>
    <w:rsid w:val="0060151C"/>
    <w:rsid w:val="0060195A"/>
    <w:rsid w:val="00601DDB"/>
    <w:rsid w:val="00601E36"/>
    <w:rsid w:val="006027F7"/>
    <w:rsid w:val="00622038"/>
    <w:rsid w:val="00635B52"/>
    <w:rsid w:val="00650C27"/>
    <w:rsid w:val="00660DFF"/>
    <w:rsid w:val="00662C67"/>
    <w:rsid w:val="006632DB"/>
    <w:rsid w:val="00681CE9"/>
    <w:rsid w:val="006830FE"/>
    <w:rsid w:val="00696821"/>
    <w:rsid w:val="006A62AE"/>
    <w:rsid w:val="006B37DD"/>
    <w:rsid w:val="006D24C0"/>
    <w:rsid w:val="006D6799"/>
    <w:rsid w:val="006E2B23"/>
    <w:rsid w:val="006E3A32"/>
    <w:rsid w:val="006E517A"/>
    <w:rsid w:val="006F71EB"/>
    <w:rsid w:val="00700960"/>
    <w:rsid w:val="00713336"/>
    <w:rsid w:val="00720EBA"/>
    <w:rsid w:val="00722484"/>
    <w:rsid w:val="0074701E"/>
    <w:rsid w:val="00764F04"/>
    <w:rsid w:val="00767E0F"/>
    <w:rsid w:val="007706F9"/>
    <w:rsid w:val="007A1399"/>
    <w:rsid w:val="007B12F5"/>
    <w:rsid w:val="007B1AEB"/>
    <w:rsid w:val="007C3E5A"/>
    <w:rsid w:val="007C6D81"/>
    <w:rsid w:val="007D1D12"/>
    <w:rsid w:val="007D58D5"/>
    <w:rsid w:val="007E50C9"/>
    <w:rsid w:val="00801100"/>
    <w:rsid w:val="00801381"/>
    <w:rsid w:val="008102AB"/>
    <w:rsid w:val="0081236A"/>
    <w:rsid w:val="00814305"/>
    <w:rsid w:val="00824B53"/>
    <w:rsid w:val="008261F3"/>
    <w:rsid w:val="008722C1"/>
    <w:rsid w:val="008A1D1C"/>
    <w:rsid w:val="008A5CCB"/>
    <w:rsid w:val="008A5CCD"/>
    <w:rsid w:val="008B19EB"/>
    <w:rsid w:val="008C05A1"/>
    <w:rsid w:val="008C57F4"/>
    <w:rsid w:val="008E2109"/>
    <w:rsid w:val="008F3D68"/>
    <w:rsid w:val="008F57CB"/>
    <w:rsid w:val="008F76DE"/>
    <w:rsid w:val="00901AE6"/>
    <w:rsid w:val="0090232E"/>
    <w:rsid w:val="009202ED"/>
    <w:rsid w:val="00920D5A"/>
    <w:rsid w:val="00973CC9"/>
    <w:rsid w:val="009872B6"/>
    <w:rsid w:val="00987A4D"/>
    <w:rsid w:val="009A03AE"/>
    <w:rsid w:val="009A20F1"/>
    <w:rsid w:val="009A30B3"/>
    <w:rsid w:val="009C1FB4"/>
    <w:rsid w:val="009C703B"/>
    <w:rsid w:val="009D2F05"/>
    <w:rsid w:val="00A035BD"/>
    <w:rsid w:val="00A06010"/>
    <w:rsid w:val="00A16963"/>
    <w:rsid w:val="00A44019"/>
    <w:rsid w:val="00A47161"/>
    <w:rsid w:val="00A73967"/>
    <w:rsid w:val="00AC2182"/>
    <w:rsid w:val="00AC326E"/>
    <w:rsid w:val="00AD205C"/>
    <w:rsid w:val="00AD3354"/>
    <w:rsid w:val="00AF2531"/>
    <w:rsid w:val="00AF5FC7"/>
    <w:rsid w:val="00AF67E7"/>
    <w:rsid w:val="00B01FD9"/>
    <w:rsid w:val="00B023CB"/>
    <w:rsid w:val="00B072A9"/>
    <w:rsid w:val="00B11755"/>
    <w:rsid w:val="00B35423"/>
    <w:rsid w:val="00B419C5"/>
    <w:rsid w:val="00B47046"/>
    <w:rsid w:val="00B47BF4"/>
    <w:rsid w:val="00B5095C"/>
    <w:rsid w:val="00B541EF"/>
    <w:rsid w:val="00B67128"/>
    <w:rsid w:val="00B87811"/>
    <w:rsid w:val="00BA1C4C"/>
    <w:rsid w:val="00BA4F76"/>
    <w:rsid w:val="00BA7405"/>
    <w:rsid w:val="00BC6036"/>
    <w:rsid w:val="00BD28A0"/>
    <w:rsid w:val="00BE40DE"/>
    <w:rsid w:val="00BE4A82"/>
    <w:rsid w:val="00BF01B7"/>
    <w:rsid w:val="00BF30B6"/>
    <w:rsid w:val="00BF68AE"/>
    <w:rsid w:val="00C10303"/>
    <w:rsid w:val="00C17642"/>
    <w:rsid w:val="00C22BCC"/>
    <w:rsid w:val="00C253EE"/>
    <w:rsid w:val="00C35902"/>
    <w:rsid w:val="00C40BB3"/>
    <w:rsid w:val="00C46E15"/>
    <w:rsid w:val="00C75F1F"/>
    <w:rsid w:val="00C93E11"/>
    <w:rsid w:val="00C9664A"/>
    <w:rsid w:val="00C97DC0"/>
    <w:rsid w:val="00C97FBC"/>
    <w:rsid w:val="00CA377A"/>
    <w:rsid w:val="00CA53F6"/>
    <w:rsid w:val="00CE01D7"/>
    <w:rsid w:val="00D14A0A"/>
    <w:rsid w:val="00D24411"/>
    <w:rsid w:val="00D24988"/>
    <w:rsid w:val="00D45AA9"/>
    <w:rsid w:val="00D5691D"/>
    <w:rsid w:val="00D6083C"/>
    <w:rsid w:val="00D62BC2"/>
    <w:rsid w:val="00D65BC5"/>
    <w:rsid w:val="00D80763"/>
    <w:rsid w:val="00D8092C"/>
    <w:rsid w:val="00D857A6"/>
    <w:rsid w:val="00DD7CAA"/>
    <w:rsid w:val="00DF20C3"/>
    <w:rsid w:val="00E02468"/>
    <w:rsid w:val="00E05740"/>
    <w:rsid w:val="00E11717"/>
    <w:rsid w:val="00E40F5B"/>
    <w:rsid w:val="00E56671"/>
    <w:rsid w:val="00E60800"/>
    <w:rsid w:val="00E63048"/>
    <w:rsid w:val="00EB0493"/>
    <w:rsid w:val="00EB1C0B"/>
    <w:rsid w:val="00EB1EEF"/>
    <w:rsid w:val="00EB7FC2"/>
    <w:rsid w:val="00ED3B1D"/>
    <w:rsid w:val="00EF2B9E"/>
    <w:rsid w:val="00EF6C1D"/>
    <w:rsid w:val="00F01B3A"/>
    <w:rsid w:val="00F40D45"/>
    <w:rsid w:val="00F57E01"/>
    <w:rsid w:val="00F76574"/>
    <w:rsid w:val="00F80192"/>
    <w:rsid w:val="00F9193D"/>
    <w:rsid w:val="00FC0592"/>
    <w:rsid w:val="00FD0176"/>
    <w:rsid w:val="00FD1E1D"/>
    <w:rsid w:val="00FE2905"/>
    <w:rsid w:val="00FF1103"/>
    <w:rsid w:val="00FF1551"/>
    <w:rsid w:val="00FF7B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F727"/>
  <w15:chartTrackingRefBased/>
  <w15:docId w15:val="{CE17927E-0C4F-4D51-8266-7122DA0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Char"/>
    <w:uiPriority w:val="34"/>
    <w:qFormat/>
    <w:rsid w:val="00BF30B6"/>
    <w:pPr>
      <w:ind w:left="720"/>
      <w:contextualSpacing/>
    </w:pPr>
  </w:style>
  <w:style w:type="paragraph" w:customStyle="1" w:styleId="para">
    <w:name w:val="para"/>
    <w:basedOn w:val="a"/>
    <w:rsid w:val="00567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목록 단락 Char"/>
    <w:basedOn w:val="a0"/>
    <w:link w:val="a4"/>
    <w:uiPriority w:val="34"/>
    <w:rsid w:val="00ED3B1D"/>
  </w:style>
  <w:style w:type="paragraph" w:customStyle="1" w:styleId="EndNoteBibliographyTitle">
    <w:name w:val="EndNote Bibliography Title"/>
    <w:basedOn w:val="a"/>
    <w:link w:val="EndNoteBibliographyTitleChar"/>
    <w:rsid w:val="007D58D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7D58D5"/>
    <w:rPr>
      <w:rFonts w:ascii="Calibri" w:hAnsi="Calibri" w:cs="Calibri"/>
      <w:noProof/>
    </w:rPr>
  </w:style>
  <w:style w:type="paragraph" w:customStyle="1" w:styleId="EndNoteBibliography">
    <w:name w:val="EndNote Bibliography"/>
    <w:basedOn w:val="a"/>
    <w:link w:val="EndNoteBibliographyChar"/>
    <w:rsid w:val="007D58D5"/>
    <w:pPr>
      <w:spacing w:line="240" w:lineRule="auto"/>
    </w:pPr>
    <w:rPr>
      <w:rFonts w:ascii="Calibri" w:hAnsi="Calibri" w:cs="Calibri"/>
      <w:noProof/>
    </w:rPr>
  </w:style>
  <w:style w:type="character" w:customStyle="1" w:styleId="EndNoteBibliographyChar">
    <w:name w:val="EndNote Bibliography Char"/>
    <w:basedOn w:val="a0"/>
    <w:link w:val="EndNoteBibliography"/>
    <w:rsid w:val="007D58D5"/>
    <w:rPr>
      <w:rFonts w:ascii="Calibri" w:hAnsi="Calibri" w:cs="Calibri"/>
      <w:noProof/>
    </w:rPr>
  </w:style>
  <w:style w:type="paragraph" w:styleId="a5">
    <w:name w:val="header"/>
    <w:basedOn w:val="a"/>
    <w:link w:val="Char0"/>
    <w:uiPriority w:val="99"/>
    <w:unhideWhenUsed/>
    <w:rsid w:val="00473619"/>
    <w:pPr>
      <w:tabs>
        <w:tab w:val="center" w:pos="4513"/>
        <w:tab w:val="right" w:pos="9026"/>
      </w:tabs>
      <w:snapToGrid w:val="0"/>
    </w:pPr>
  </w:style>
  <w:style w:type="character" w:customStyle="1" w:styleId="Char0">
    <w:name w:val="머리글 Char"/>
    <w:basedOn w:val="a0"/>
    <w:link w:val="a5"/>
    <w:uiPriority w:val="99"/>
    <w:rsid w:val="00473619"/>
  </w:style>
  <w:style w:type="paragraph" w:styleId="a6">
    <w:name w:val="footer"/>
    <w:basedOn w:val="a"/>
    <w:link w:val="Char1"/>
    <w:uiPriority w:val="99"/>
    <w:unhideWhenUsed/>
    <w:rsid w:val="00473619"/>
    <w:pPr>
      <w:tabs>
        <w:tab w:val="center" w:pos="4513"/>
        <w:tab w:val="right" w:pos="9026"/>
      </w:tabs>
      <w:snapToGrid w:val="0"/>
    </w:pPr>
  </w:style>
  <w:style w:type="character" w:customStyle="1" w:styleId="Char1">
    <w:name w:val="바닥글 Char"/>
    <w:basedOn w:val="a0"/>
    <w:link w:val="a6"/>
    <w:uiPriority w:val="99"/>
    <w:rsid w:val="00473619"/>
  </w:style>
  <w:style w:type="character" w:styleId="a7">
    <w:name w:val="annotation reference"/>
    <w:basedOn w:val="a0"/>
    <w:uiPriority w:val="99"/>
    <w:semiHidden/>
    <w:unhideWhenUsed/>
    <w:rsid w:val="00152210"/>
    <w:rPr>
      <w:sz w:val="16"/>
      <w:szCs w:val="16"/>
    </w:rPr>
  </w:style>
  <w:style w:type="paragraph" w:styleId="a8">
    <w:name w:val="annotation text"/>
    <w:basedOn w:val="a"/>
    <w:link w:val="Char2"/>
    <w:uiPriority w:val="99"/>
    <w:semiHidden/>
    <w:unhideWhenUsed/>
    <w:rsid w:val="00152210"/>
    <w:pPr>
      <w:spacing w:line="240" w:lineRule="auto"/>
    </w:pPr>
    <w:rPr>
      <w:sz w:val="20"/>
      <w:szCs w:val="20"/>
    </w:rPr>
  </w:style>
  <w:style w:type="character" w:customStyle="1" w:styleId="Char2">
    <w:name w:val="메모 텍스트 Char"/>
    <w:basedOn w:val="a0"/>
    <w:link w:val="a8"/>
    <w:uiPriority w:val="99"/>
    <w:semiHidden/>
    <w:rsid w:val="00152210"/>
    <w:rPr>
      <w:sz w:val="20"/>
      <w:szCs w:val="20"/>
    </w:rPr>
  </w:style>
  <w:style w:type="paragraph" w:styleId="a9">
    <w:name w:val="annotation subject"/>
    <w:basedOn w:val="a8"/>
    <w:next w:val="a8"/>
    <w:link w:val="Char3"/>
    <w:uiPriority w:val="99"/>
    <w:semiHidden/>
    <w:unhideWhenUsed/>
    <w:rsid w:val="00152210"/>
    <w:rPr>
      <w:b/>
      <w:bCs/>
    </w:rPr>
  </w:style>
  <w:style w:type="character" w:customStyle="1" w:styleId="Char3">
    <w:name w:val="메모 주제 Char"/>
    <w:basedOn w:val="Char2"/>
    <w:link w:val="a9"/>
    <w:uiPriority w:val="99"/>
    <w:semiHidden/>
    <w:rsid w:val="00152210"/>
    <w:rPr>
      <w:b/>
      <w:bCs/>
      <w:sz w:val="20"/>
      <w:szCs w:val="20"/>
    </w:rPr>
  </w:style>
  <w:style w:type="paragraph" w:styleId="aa">
    <w:name w:val="Revision"/>
    <w:hidden/>
    <w:uiPriority w:val="99"/>
    <w:semiHidden/>
    <w:rsid w:val="00DD7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6610">
      <w:bodyDiv w:val="1"/>
      <w:marLeft w:val="0"/>
      <w:marRight w:val="0"/>
      <w:marTop w:val="0"/>
      <w:marBottom w:val="0"/>
      <w:divBdr>
        <w:top w:val="none" w:sz="0" w:space="0" w:color="auto"/>
        <w:left w:val="none" w:sz="0" w:space="0" w:color="auto"/>
        <w:bottom w:val="none" w:sz="0" w:space="0" w:color="auto"/>
        <w:right w:val="none" w:sz="0" w:space="0" w:color="auto"/>
      </w:divBdr>
    </w:div>
    <w:div w:id="371613295">
      <w:bodyDiv w:val="1"/>
      <w:marLeft w:val="0"/>
      <w:marRight w:val="0"/>
      <w:marTop w:val="0"/>
      <w:marBottom w:val="0"/>
      <w:divBdr>
        <w:top w:val="none" w:sz="0" w:space="0" w:color="auto"/>
        <w:left w:val="none" w:sz="0" w:space="0" w:color="auto"/>
        <w:bottom w:val="none" w:sz="0" w:space="0" w:color="auto"/>
        <w:right w:val="none" w:sz="0" w:space="0" w:color="auto"/>
      </w:divBdr>
    </w:div>
    <w:div w:id="433747873">
      <w:bodyDiv w:val="1"/>
      <w:marLeft w:val="0"/>
      <w:marRight w:val="0"/>
      <w:marTop w:val="0"/>
      <w:marBottom w:val="0"/>
      <w:divBdr>
        <w:top w:val="none" w:sz="0" w:space="0" w:color="auto"/>
        <w:left w:val="none" w:sz="0" w:space="0" w:color="auto"/>
        <w:bottom w:val="none" w:sz="0" w:space="0" w:color="auto"/>
        <w:right w:val="none" w:sz="0" w:space="0" w:color="auto"/>
      </w:divBdr>
    </w:div>
    <w:div w:id="491070765">
      <w:bodyDiv w:val="1"/>
      <w:marLeft w:val="0"/>
      <w:marRight w:val="0"/>
      <w:marTop w:val="0"/>
      <w:marBottom w:val="0"/>
      <w:divBdr>
        <w:top w:val="none" w:sz="0" w:space="0" w:color="auto"/>
        <w:left w:val="none" w:sz="0" w:space="0" w:color="auto"/>
        <w:bottom w:val="none" w:sz="0" w:space="0" w:color="auto"/>
        <w:right w:val="none" w:sz="0" w:space="0" w:color="auto"/>
      </w:divBdr>
    </w:div>
    <w:div w:id="636881252">
      <w:bodyDiv w:val="1"/>
      <w:marLeft w:val="0"/>
      <w:marRight w:val="0"/>
      <w:marTop w:val="0"/>
      <w:marBottom w:val="0"/>
      <w:divBdr>
        <w:top w:val="none" w:sz="0" w:space="0" w:color="auto"/>
        <w:left w:val="none" w:sz="0" w:space="0" w:color="auto"/>
        <w:bottom w:val="none" w:sz="0" w:space="0" w:color="auto"/>
        <w:right w:val="none" w:sz="0" w:space="0" w:color="auto"/>
      </w:divBdr>
    </w:div>
    <w:div w:id="677578843">
      <w:bodyDiv w:val="1"/>
      <w:marLeft w:val="0"/>
      <w:marRight w:val="0"/>
      <w:marTop w:val="0"/>
      <w:marBottom w:val="0"/>
      <w:divBdr>
        <w:top w:val="none" w:sz="0" w:space="0" w:color="auto"/>
        <w:left w:val="none" w:sz="0" w:space="0" w:color="auto"/>
        <w:bottom w:val="none" w:sz="0" w:space="0" w:color="auto"/>
        <w:right w:val="none" w:sz="0" w:space="0" w:color="auto"/>
      </w:divBdr>
    </w:div>
    <w:div w:id="825783334">
      <w:bodyDiv w:val="1"/>
      <w:marLeft w:val="0"/>
      <w:marRight w:val="0"/>
      <w:marTop w:val="0"/>
      <w:marBottom w:val="0"/>
      <w:divBdr>
        <w:top w:val="none" w:sz="0" w:space="0" w:color="auto"/>
        <w:left w:val="none" w:sz="0" w:space="0" w:color="auto"/>
        <w:bottom w:val="none" w:sz="0" w:space="0" w:color="auto"/>
        <w:right w:val="none" w:sz="0" w:space="0" w:color="auto"/>
      </w:divBdr>
    </w:div>
    <w:div w:id="829254349">
      <w:bodyDiv w:val="1"/>
      <w:marLeft w:val="0"/>
      <w:marRight w:val="0"/>
      <w:marTop w:val="0"/>
      <w:marBottom w:val="0"/>
      <w:divBdr>
        <w:top w:val="none" w:sz="0" w:space="0" w:color="auto"/>
        <w:left w:val="none" w:sz="0" w:space="0" w:color="auto"/>
        <w:bottom w:val="none" w:sz="0" w:space="0" w:color="auto"/>
        <w:right w:val="none" w:sz="0" w:space="0" w:color="auto"/>
      </w:divBdr>
    </w:div>
    <w:div w:id="859587172">
      <w:bodyDiv w:val="1"/>
      <w:marLeft w:val="0"/>
      <w:marRight w:val="0"/>
      <w:marTop w:val="0"/>
      <w:marBottom w:val="0"/>
      <w:divBdr>
        <w:top w:val="none" w:sz="0" w:space="0" w:color="auto"/>
        <w:left w:val="none" w:sz="0" w:space="0" w:color="auto"/>
        <w:bottom w:val="none" w:sz="0" w:space="0" w:color="auto"/>
        <w:right w:val="none" w:sz="0" w:space="0" w:color="auto"/>
      </w:divBdr>
    </w:div>
    <w:div w:id="860818989">
      <w:bodyDiv w:val="1"/>
      <w:marLeft w:val="0"/>
      <w:marRight w:val="0"/>
      <w:marTop w:val="0"/>
      <w:marBottom w:val="0"/>
      <w:divBdr>
        <w:top w:val="none" w:sz="0" w:space="0" w:color="auto"/>
        <w:left w:val="none" w:sz="0" w:space="0" w:color="auto"/>
        <w:bottom w:val="none" w:sz="0" w:space="0" w:color="auto"/>
        <w:right w:val="none" w:sz="0" w:space="0" w:color="auto"/>
      </w:divBdr>
    </w:div>
    <w:div w:id="999162334">
      <w:bodyDiv w:val="1"/>
      <w:marLeft w:val="0"/>
      <w:marRight w:val="0"/>
      <w:marTop w:val="0"/>
      <w:marBottom w:val="0"/>
      <w:divBdr>
        <w:top w:val="none" w:sz="0" w:space="0" w:color="auto"/>
        <w:left w:val="none" w:sz="0" w:space="0" w:color="auto"/>
        <w:bottom w:val="none" w:sz="0" w:space="0" w:color="auto"/>
        <w:right w:val="none" w:sz="0" w:space="0" w:color="auto"/>
      </w:divBdr>
    </w:div>
    <w:div w:id="1143501037">
      <w:bodyDiv w:val="1"/>
      <w:marLeft w:val="0"/>
      <w:marRight w:val="0"/>
      <w:marTop w:val="0"/>
      <w:marBottom w:val="0"/>
      <w:divBdr>
        <w:top w:val="none" w:sz="0" w:space="0" w:color="auto"/>
        <w:left w:val="none" w:sz="0" w:space="0" w:color="auto"/>
        <w:bottom w:val="none" w:sz="0" w:space="0" w:color="auto"/>
        <w:right w:val="none" w:sz="0" w:space="0" w:color="auto"/>
      </w:divBdr>
    </w:div>
    <w:div w:id="1190531981">
      <w:bodyDiv w:val="1"/>
      <w:marLeft w:val="0"/>
      <w:marRight w:val="0"/>
      <w:marTop w:val="0"/>
      <w:marBottom w:val="0"/>
      <w:divBdr>
        <w:top w:val="none" w:sz="0" w:space="0" w:color="auto"/>
        <w:left w:val="none" w:sz="0" w:space="0" w:color="auto"/>
        <w:bottom w:val="none" w:sz="0" w:space="0" w:color="auto"/>
        <w:right w:val="none" w:sz="0" w:space="0" w:color="auto"/>
      </w:divBdr>
    </w:div>
    <w:div w:id="1212419649">
      <w:bodyDiv w:val="1"/>
      <w:marLeft w:val="0"/>
      <w:marRight w:val="0"/>
      <w:marTop w:val="0"/>
      <w:marBottom w:val="0"/>
      <w:divBdr>
        <w:top w:val="none" w:sz="0" w:space="0" w:color="auto"/>
        <w:left w:val="none" w:sz="0" w:space="0" w:color="auto"/>
        <w:bottom w:val="none" w:sz="0" w:space="0" w:color="auto"/>
        <w:right w:val="none" w:sz="0" w:space="0" w:color="auto"/>
      </w:divBdr>
    </w:div>
    <w:div w:id="1267926311">
      <w:bodyDiv w:val="1"/>
      <w:marLeft w:val="0"/>
      <w:marRight w:val="0"/>
      <w:marTop w:val="0"/>
      <w:marBottom w:val="0"/>
      <w:divBdr>
        <w:top w:val="none" w:sz="0" w:space="0" w:color="auto"/>
        <w:left w:val="none" w:sz="0" w:space="0" w:color="auto"/>
        <w:bottom w:val="none" w:sz="0" w:space="0" w:color="auto"/>
        <w:right w:val="none" w:sz="0" w:space="0" w:color="auto"/>
      </w:divBdr>
    </w:div>
    <w:div w:id="1367877440">
      <w:bodyDiv w:val="1"/>
      <w:marLeft w:val="0"/>
      <w:marRight w:val="0"/>
      <w:marTop w:val="0"/>
      <w:marBottom w:val="0"/>
      <w:divBdr>
        <w:top w:val="none" w:sz="0" w:space="0" w:color="auto"/>
        <w:left w:val="none" w:sz="0" w:space="0" w:color="auto"/>
        <w:bottom w:val="none" w:sz="0" w:space="0" w:color="auto"/>
        <w:right w:val="none" w:sz="0" w:space="0" w:color="auto"/>
      </w:divBdr>
    </w:div>
    <w:div w:id="13701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2440-CF18-4735-B91C-314AA8F0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2394</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Youngji</dc:creator>
  <cp:keywords/>
  <dc:description/>
  <cp:lastModifiedBy>AppPower</cp:lastModifiedBy>
  <cp:revision>2</cp:revision>
  <dcterms:created xsi:type="dcterms:W3CDTF">2022-07-12T06:51:00Z</dcterms:created>
  <dcterms:modified xsi:type="dcterms:W3CDTF">2022-07-12T06:51:00Z</dcterms:modified>
</cp:coreProperties>
</file>