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0A0D" w14:textId="27457FD7" w:rsidR="000D7F14" w:rsidRPr="006842D5" w:rsidRDefault="00A2193F" w:rsidP="00B7034D">
      <w:pPr>
        <w:pStyle w:val="a6"/>
        <w:rPr>
          <w:rFonts w:ascii="Times New Roman" w:hAnsi="Times New Roman" w:cs="Times New Roman"/>
          <w:sz w:val="24"/>
          <w:szCs w:val="24"/>
        </w:rPr>
      </w:pPr>
      <w:r w:rsidRPr="006842D5">
        <w:rPr>
          <w:rFonts w:ascii="Times New Roman" w:hAnsi="Times New Roman" w:cs="Times New Roman"/>
          <w:sz w:val="24"/>
          <w:szCs w:val="24"/>
        </w:rPr>
        <w:t>Supplementa</w:t>
      </w:r>
      <w:r w:rsidR="005E2FCC">
        <w:rPr>
          <w:rFonts w:ascii="Times New Roman" w:hAnsi="Times New Roman" w:cs="Times New Roman"/>
          <w:sz w:val="24"/>
          <w:szCs w:val="24"/>
        </w:rPr>
        <w:t xml:space="preserve">ry Material </w:t>
      </w:r>
      <w:r w:rsidRPr="006842D5">
        <w:rPr>
          <w:rFonts w:ascii="Times New Roman" w:hAnsi="Times New Roman" w:cs="Times New Roman"/>
          <w:sz w:val="24"/>
          <w:szCs w:val="24"/>
        </w:rPr>
        <w:t>1</w:t>
      </w:r>
      <w:r w:rsidR="00FE17B5" w:rsidRPr="006842D5">
        <w:rPr>
          <w:rFonts w:ascii="Times New Roman" w:hAnsi="Times New Roman" w:cs="Times New Roman"/>
          <w:sz w:val="24"/>
          <w:szCs w:val="24"/>
        </w:rPr>
        <w:t xml:space="preserve">. </w:t>
      </w:r>
      <w:r w:rsidR="004E137D" w:rsidRPr="006842D5">
        <w:rPr>
          <w:rFonts w:ascii="Times New Roman" w:hAnsi="Times New Roman" w:cs="Times New Roman"/>
          <w:sz w:val="24"/>
          <w:szCs w:val="24"/>
        </w:rPr>
        <w:t>R</w:t>
      </w:r>
      <w:r w:rsidR="00FE17B5" w:rsidRPr="006842D5">
        <w:rPr>
          <w:rFonts w:ascii="Times New Roman" w:hAnsi="Times New Roman" w:cs="Times New Roman"/>
          <w:sz w:val="24"/>
          <w:szCs w:val="24"/>
        </w:rPr>
        <w:t>esearch hypothesis</w:t>
      </w:r>
      <w:bookmarkStart w:id="0" w:name="_GoBack"/>
      <w:bookmarkEnd w:id="0"/>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618"/>
        <w:gridCol w:w="1948"/>
        <w:gridCol w:w="2097"/>
        <w:gridCol w:w="6143"/>
      </w:tblGrid>
      <w:tr w:rsidR="006842D5" w:rsidRPr="006842D5" w14:paraId="43798047" w14:textId="77777777" w:rsidTr="00EE4C12">
        <w:tc>
          <w:tcPr>
            <w:tcW w:w="1872" w:type="dxa"/>
            <w:tcBorders>
              <w:top w:val="single" w:sz="4" w:space="0" w:color="auto"/>
              <w:bottom w:val="single" w:sz="4" w:space="0" w:color="auto"/>
            </w:tcBorders>
            <w:vAlign w:val="center"/>
          </w:tcPr>
          <w:p w14:paraId="6A29468C" w14:textId="77777777" w:rsidR="00FE17B5" w:rsidRPr="006842D5" w:rsidRDefault="00FE17B5" w:rsidP="004E137D">
            <w:pPr>
              <w:pStyle w:val="a6"/>
              <w:rPr>
                <w:rFonts w:ascii="Times New Roman" w:hAnsi="Times New Roman" w:cs="Times New Roman"/>
                <w:sz w:val="24"/>
                <w:szCs w:val="24"/>
              </w:rPr>
            </w:pPr>
            <w:r w:rsidRPr="006842D5">
              <w:rPr>
                <w:rFonts w:ascii="Times New Roman" w:hAnsi="Times New Roman" w:cs="Times New Roman"/>
                <w:sz w:val="24"/>
                <w:szCs w:val="24"/>
              </w:rPr>
              <w:t>Category</w:t>
            </w:r>
          </w:p>
        </w:tc>
        <w:tc>
          <w:tcPr>
            <w:tcW w:w="2618" w:type="dxa"/>
            <w:tcBorders>
              <w:top w:val="single" w:sz="4" w:space="0" w:color="auto"/>
              <w:bottom w:val="single" w:sz="4" w:space="0" w:color="auto"/>
            </w:tcBorders>
            <w:vAlign w:val="center"/>
          </w:tcPr>
          <w:p w14:paraId="4C84610B" w14:textId="77777777" w:rsidR="00FE17B5" w:rsidRPr="006842D5" w:rsidRDefault="00FE17B5" w:rsidP="004E137D">
            <w:pPr>
              <w:pStyle w:val="a6"/>
              <w:rPr>
                <w:rFonts w:ascii="Times New Roman" w:hAnsi="Times New Roman" w:cs="Times New Roman"/>
                <w:sz w:val="24"/>
                <w:szCs w:val="24"/>
              </w:rPr>
            </w:pPr>
            <w:r w:rsidRPr="006842D5">
              <w:rPr>
                <w:rFonts w:ascii="Times New Roman" w:hAnsi="Times New Roman" w:cs="Times New Roman"/>
                <w:sz w:val="24"/>
                <w:szCs w:val="24"/>
              </w:rPr>
              <w:t>Independent factors</w:t>
            </w:r>
          </w:p>
        </w:tc>
        <w:tc>
          <w:tcPr>
            <w:tcW w:w="1948" w:type="dxa"/>
            <w:tcBorders>
              <w:top w:val="single" w:sz="4" w:space="0" w:color="auto"/>
              <w:bottom w:val="single" w:sz="4" w:space="0" w:color="auto"/>
            </w:tcBorders>
            <w:vAlign w:val="center"/>
          </w:tcPr>
          <w:p w14:paraId="0D8BCA53" w14:textId="77777777" w:rsidR="00FE17B5" w:rsidRPr="006842D5" w:rsidRDefault="00FE17B5" w:rsidP="004E137D">
            <w:pPr>
              <w:pStyle w:val="a6"/>
              <w:rPr>
                <w:rFonts w:ascii="Times New Roman" w:hAnsi="Times New Roman" w:cs="Times New Roman"/>
                <w:sz w:val="24"/>
                <w:szCs w:val="24"/>
              </w:rPr>
            </w:pPr>
            <w:r w:rsidRPr="006842D5">
              <w:rPr>
                <w:rFonts w:ascii="Times New Roman" w:hAnsi="Times New Roman" w:cs="Times New Roman"/>
                <w:sz w:val="24"/>
                <w:szCs w:val="24"/>
              </w:rPr>
              <w:t>Outcomes</w:t>
            </w:r>
          </w:p>
        </w:tc>
        <w:tc>
          <w:tcPr>
            <w:tcW w:w="2097" w:type="dxa"/>
            <w:tcBorders>
              <w:top w:val="single" w:sz="4" w:space="0" w:color="auto"/>
              <w:bottom w:val="single" w:sz="4" w:space="0" w:color="auto"/>
            </w:tcBorders>
            <w:vAlign w:val="center"/>
          </w:tcPr>
          <w:p w14:paraId="46DD9823" w14:textId="77777777" w:rsidR="00FE17B5" w:rsidRPr="006842D5" w:rsidRDefault="005452EF" w:rsidP="004E137D">
            <w:pPr>
              <w:pStyle w:val="a6"/>
              <w:rPr>
                <w:rFonts w:ascii="Times New Roman" w:hAnsi="Times New Roman" w:cs="Times New Roman"/>
                <w:sz w:val="24"/>
                <w:szCs w:val="24"/>
              </w:rPr>
            </w:pPr>
            <w:r w:rsidRPr="006842D5">
              <w:rPr>
                <w:rFonts w:ascii="Times New Roman" w:hAnsi="Times New Roman" w:cs="Times New Roman"/>
                <w:sz w:val="24"/>
                <w:szCs w:val="24"/>
              </w:rPr>
              <w:t>Ref</w:t>
            </w:r>
          </w:p>
        </w:tc>
        <w:tc>
          <w:tcPr>
            <w:tcW w:w="6143" w:type="dxa"/>
            <w:tcBorders>
              <w:top w:val="single" w:sz="4" w:space="0" w:color="auto"/>
              <w:bottom w:val="single" w:sz="4" w:space="0" w:color="auto"/>
            </w:tcBorders>
            <w:vAlign w:val="center"/>
          </w:tcPr>
          <w:p w14:paraId="3E224338" w14:textId="77777777" w:rsidR="00FE17B5" w:rsidRPr="006842D5" w:rsidRDefault="00FE17B5" w:rsidP="004E137D">
            <w:pPr>
              <w:pStyle w:val="a6"/>
              <w:rPr>
                <w:rFonts w:ascii="Times New Roman" w:hAnsi="Times New Roman" w:cs="Times New Roman"/>
                <w:sz w:val="24"/>
                <w:szCs w:val="24"/>
              </w:rPr>
            </w:pPr>
            <w:r w:rsidRPr="006842D5">
              <w:rPr>
                <w:rFonts w:ascii="Times New Roman" w:hAnsi="Times New Roman" w:cs="Times New Roman"/>
                <w:sz w:val="24"/>
                <w:szCs w:val="24"/>
              </w:rPr>
              <w:t>Summary</w:t>
            </w:r>
          </w:p>
        </w:tc>
      </w:tr>
      <w:tr w:rsidR="006842D5" w:rsidRPr="006842D5" w14:paraId="5DB65EBE" w14:textId="77777777" w:rsidTr="00EE4C12">
        <w:tc>
          <w:tcPr>
            <w:tcW w:w="1872" w:type="dxa"/>
            <w:tcBorders>
              <w:top w:val="single" w:sz="4" w:space="0" w:color="auto"/>
            </w:tcBorders>
            <w:vAlign w:val="center"/>
          </w:tcPr>
          <w:p w14:paraId="273B01D4" w14:textId="6ACEF78B" w:rsidR="00EE4C12" w:rsidRPr="006842D5" w:rsidRDefault="00EE4C12" w:rsidP="00EE4C12">
            <w:pPr>
              <w:pStyle w:val="a6"/>
              <w:rPr>
                <w:rFonts w:ascii="Times New Roman" w:hAnsi="Times New Roman" w:cs="Times New Roman"/>
                <w:bCs/>
                <w:sz w:val="21"/>
                <w:szCs w:val="21"/>
              </w:rPr>
            </w:pPr>
            <w:r w:rsidRPr="006842D5">
              <w:rPr>
                <w:rFonts w:ascii="Times New Roman" w:hAnsi="Times New Roman" w:cs="Times New Roman"/>
                <w:bCs/>
                <w:sz w:val="21"/>
                <w:szCs w:val="21"/>
              </w:rPr>
              <w:t>Birthweight &amp; growth</w:t>
            </w:r>
          </w:p>
        </w:tc>
        <w:tc>
          <w:tcPr>
            <w:tcW w:w="2618" w:type="dxa"/>
            <w:tcBorders>
              <w:top w:val="single" w:sz="4" w:space="0" w:color="auto"/>
            </w:tcBorders>
            <w:vAlign w:val="center"/>
          </w:tcPr>
          <w:p w14:paraId="1DC1FA49"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Maternal serum levels of vitamins C and E during the second trimester</w:t>
            </w:r>
          </w:p>
        </w:tc>
        <w:tc>
          <w:tcPr>
            <w:tcW w:w="1948" w:type="dxa"/>
            <w:tcBorders>
              <w:top w:val="single" w:sz="4" w:space="0" w:color="auto"/>
            </w:tcBorders>
            <w:vAlign w:val="center"/>
          </w:tcPr>
          <w:p w14:paraId="35AB74F2" w14:textId="6C9C8504"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Birthweight and length</w:t>
            </w:r>
          </w:p>
        </w:tc>
        <w:tc>
          <w:tcPr>
            <w:tcW w:w="2097" w:type="dxa"/>
            <w:tcBorders>
              <w:top w:val="single" w:sz="4" w:space="0" w:color="auto"/>
            </w:tcBorders>
            <w:vAlign w:val="center"/>
          </w:tcPr>
          <w:p w14:paraId="0DB24B1F" w14:textId="558ACAAE"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Eur J Clin </w:t>
            </w:r>
            <w:proofErr w:type="spellStart"/>
            <w:r w:rsidRPr="006842D5">
              <w:rPr>
                <w:rFonts w:ascii="Times New Roman" w:hAnsi="Times New Roman" w:cs="Times New Roman"/>
                <w:sz w:val="21"/>
                <w:szCs w:val="21"/>
              </w:rPr>
              <w:t>Nutr</w:t>
            </w:r>
            <w:proofErr w:type="spellEnd"/>
            <w:r w:rsidRPr="006842D5">
              <w:rPr>
                <w:rFonts w:ascii="Times New Roman" w:hAnsi="Times New Roman" w:cs="Times New Roman"/>
                <w:sz w:val="21"/>
                <w:szCs w:val="21"/>
              </w:rPr>
              <w:t xml:space="preserve">. 2004; 58(10): 1365-71. </w:t>
            </w:r>
          </w:p>
        </w:tc>
        <w:tc>
          <w:tcPr>
            <w:tcW w:w="6143" w:type="dxa"/>
            <w:tcBorders>
              <w:top w:val="single" w:sz="4" w:space="0" w:color="auto"/>
            </w:tcBorders>
            <w:vAlign w:val="center"/>
          </w:tcPr>
          <w:p w14:paraId="0BF8AA9F" w14:textId="042F9D5D"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Maternal serum vitamin C levels during the second trimester were positively correlated with birthweight and length in full-term babies.</w:t>
            </w:r>
          </w:p>
        </w:tc>
      </w:tr>
      <w:tr w:rsidR="006842D5" w:rsidRPr="006842D5" w14:paraId="015F754C" w14:textId="77777777" w:rsidTr="00EE4C12">
        <w:tc>
          <w:tcPr>
            <w:tcW w:w="1872" w:type="dxa"/>
            <w:vAlign w:val="center"/>
          </w:tcPr>
          <w:p w14:paraId="385D75B7" w14:textId="77777777" w:rsidR="00EE4C12" w:rsidRPr="006842D5" w:rsidRDefault="00EE4C12" w:rsidP="00EE4C12">
            <w:pPr>
              <w:pStyle w:val="a6"/>
              <w:rPr>
                <w:rFonts w:ascii="Times New Roman" w:hAnsi="Times New Roman" w:cs="Times New Roman"/>
                <w:sz w:val="21"/>
                <w:szCs w:val="21"/>
              </w:rPr>
            </w:pPr>
          </w:p>
        </w:tc>
        <w:tc>
          <w:tcPr>
            <w:tcW w:w="2618" w:type="dxa"/>
            <w:shd w:val="clear" w:color="auto" w:fill="F2F2F2" w:themeFill="background1" w:themeFillShade="F2"/>
            <w:vAlign w:val="center"/>
          </w:tcPr>
          <w:p w14:paraId="7479CD63" w14:textId="2A8AE5BC"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Oxidative stress in midterm pregnancy</w:t>
            </w:r>
          </w:p>
        </w:tc>
        <w:tc>
          <w:tcPr>
            <w:tcW w:w="1948" w:type="dxa"/>
            <w:shd w:val="clear" w:color="auto" w:fill="F2F2F2" w:themeFill="background1" w:themeFillShade="F2"/>
            <w:vAlign w:val="center"/>
          </w:tcPr>
          <w:p w14:paraId="7FC93BFB" w14:textId="5D130A5A"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Postnatal growth</w:t>
            </w:r>
          </w:p>
        </w:tc>
        <w:tc>
          <w:tcPr>
            <w:tcW w:w="2097" w:type="dxa"/>
            <w:shd w:val="clear" w:color="auto" w:fill="F2F2F2" w:themeFill="background1" w:themeFillShade="F2"/>
            <w:vAlign w:val="center"/>
          </w:tcPr>
          <w:p w14:paraId="660F1779" w14:textId="488E652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Epidemiol Health. 2004; 26(1): 17-26. </w:t>
            </w:r>
          </w:p>
        </w:tc>
        <w:tc>
          <w:tcPr>
            <w:tcW w:w="6143" w:type="dxa"/>
            <w:shd w:val="clear" w:color="auto" w:fill="F2F2F2" w:themeFill="background1" w:themeFillShade="F2"/>
            <w:vAlign w:val="center"/>
          </w:tcPr>
          <w:p w14:paraId="6C047092" w14:textId="48E7443D"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The fourth quartile of malondialdehyde levels during mid-pregnancy was associated with low body weight at birth, 6 and 12 months.</w:t>
            </w:r>
          </w:p>
        </w:tc>
      </w:tr>
      <w:tr w:rsidR="006842D5" w:rsidRPr="006842D5" w14:paraId="058D1287" w14:textId="77777777" w:rsidTr="00EE4C12">
        <w:tc>
          <w:tcPr>
            <w:tcW w:w="1872" w:type="dxa"/>
            <w:vAlign w:val="center"/>
          </w:tcPr>
          <w:p w14:paraId="46239995" w14:textId="77777777" w:rsidR="00EE4C12" w:rsidRPr="006842D5" w:rsidRDefault="00EE4C12" w:rsidP="00EE4C12">
            <w:pPr>
              <w:pStyle w:val="a6"/>
              <w:rPr>
                <w:rFonts w:ascii="Times New Roman" w:hAnsi="Times New Roman" w:cs="Times New Roman"/>
                <w:sz w:val="21"/>
                <w:szCs w:val="21"/>
              </w:rPr>
            </w:pPr>
          </w:p>
        </w:tc>
        <w:tc>
          <w:tcPr>
            <w:tcW w:w="2618" w:type="dxa"/>
            <w:vAlign w:val="center"/>
          </w:tcPr>
          <w:p w14:paraId="5EC7D314" w14:textId="4B5EDBBC"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Myeloperoxidase polymorphism, serum vitamin C level</w:t>
            </w:r>
          </w:p>
        </w:tc>
        <w:tc>
          <w:tcPr>
            <w:tcW w:w="1948" w:type="dxa"/>
            <w:vAlign w:val="center"/>
          </w:tcPr>
          <w:p w14:paraId="32F9856D" w14:textId="1663D13A"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Maternal oxidative stress and birthweight</w:t>
            </w:r>
          </w:p>
        </w:tc>
        <w:tc>
          <w:tcPr>
            <w:tcW w:w="2097" w:type="dxa"/>
            <w:vAlign w:val="center"/>
          </w:tcPr>
          <w:p w14:paraId="2980744D" w14:textId="19CB713F"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w:t>
            </w:r>
            <w:proofErr w:type="spellStart"/>
            <w:r w:rsidRPr="006842D5">
              <w:rPr>
                <w:rFonts w:ascii="Times New Roman" w:eastAsia="맑은 고딕" w:hAnsi="Times New Roman" w:cs="Times New Roman"/>
                <w:sz w:val="21"/>
                <w:szCs w:val="21"/>
              </w:rPr>
              <w:t>Toxicol</w:t>
            </w:r>
            <w:proofErr w:type="spellEnd"/>
            <w:r w:rsidRPr="006842D5">
              <w:rPr>
                <w:rFonts w:ascii="Times New Roman" w:eastAsia="맑은 고딕" w:hAnsi="Times New Roman" w:cs="Times New Roman"/>
                <w:sz w:val="21"/>
                <w:szCs w:val="21"/>
              </w:rPr>
              <w:t>. Pub. Health 2004; 20(3): 187-93</w:t>
            </w:r>
          </w:p>
        </w:tc>
        <w:tc>
          <w:tcPr>
            <w:tcW w:w="6143" w:type="dxa"/>
            <w:vAlign w:val="center"/>
          </w:tcPr>
          <w:p w14:paraId="3FFA6F4F" w14:textId="44F6AE78"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Urine 8-hydroxy-2'-deoxyguanosine and birthweight were associated with myeloperoxidase (MPO) genetic polymorphism, depending on maternal vitamin C levels.</w:t>
            </w:r>
          </w:p>
        </w:tc>
      </w:tr>
      <w:tr w:rsidR="006842D5" w:rsidRPr="006842D5" w14:paraId="40609F9D" w14:textId="77777777" w:rsidTr="00EE4C12">
        <w:tc>
          <w:tcPr>
            <w:tcW w:w="1872" w:type="dxa"/>
            <w:vAlign w:val="center"/>
          </w:tcPr>
          <w:p w14:paraId="100C7CF1" w14:textId="77777777" w:rsidR="00EE4C12" w:rsidRPr="006842D5" w:rsidRDefault="00EE4C12" w:rsidP="00EE4C12">
            <w:pPr>
              <w:pStyle w:val="a6"/>
              <w:rPr>
                <w:rFonts w:ascii="Times New Roman" w:hAnsi="Times New Roman" w:cs="Times New Roman"/>
                <w:sz w:val="21"/>
                <w:szCs w:val="21"/>
              </w:rPr>
            </w:pPr>
          </w:p>
        </w:tc>
        <w:tc>
          <w:tcPr>
            <w:tcW w:w="2618" w:type="dxa"/>
            <w:shd w:val="clear" w:color="auto" w:fill="F2F2F2" w:themeFill="background1" w:themeFillShade="F2"/>
            <w:vAlign w:val="center"/>
          </w:tcPr>
          <w:p w14:paraId="4A21F05C" w14:textId="1E21FDDD"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Maternal serum folate and the MTHFR Polymorphisms</w:t>
            </w:r>
          </w:p>
        </w:tc>
        <w:tc>
          <w:tcPr>
            <w:tcW w:w="1948" w:type="dxa"/>
            <w:shd w:val="clear" w:color="auto" w:fill="F2F2F2" w:themeFill="background1" w:themeFillShade="F2"/>
            <w:vAlign w:val="center"/>
          </w:tcPr>
          <w:p w14:paraId="130EC5DA" w14:textId="53263CA2"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Infant birthweight</w:t>
            </w:r>
          </w:p>
        </w:tc>
        <w:tc>
          <w:tcPr>
            <w:tcW w:w="2097" w:type="dxa"/>
            <w:shd w:val="clear" w:color="auto" w:fill="F2F2F2" w:themeFill="background1" w:themeFillShade="F2"/>
            <w:vAlign w:val="center"/>
          </w:tcPr>
          <w:p w14:paraId="38C8FA29" w14:textId="2CC43CD4"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Molecular &amp; cellular toxicology.  2005; 1(2): 130-6  </w:t>
            </w:r>
          </w:p>
        </w:tc>
        <w:tc>
          <w:tcPr>
            <w:tcW w:w="6143" w:type="dxa"/>
            <w:shd w:val="clear" w:color="auto" w:fill="F2F2F2" w:themeFill="background1" w:themeFillShade="F2"/>
            <w:vAlign w:val="center"/>
          </w:tcPr>
          <w:p w14:paraId="1131D90E" w14:textId="10AC2B75"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The birthweights of children with mothers with the MTHFR </w:t>
            </w:r>
            <w:r w:rsidRPr="006842D5">
              <w:rPr>
                <w:rFonts w:ascii="Times New Roman" w:eastAsia="맑은 고딕" w:hAnsi="Times New Roman" w:cs="Times New Roman"/>
                <w:i/>
                <w:iCs/>
                <w:sz w:val="21"/>
                <w:szCs w:val="21"/>
              </w:rPr>
              <w:t>CC</w:t>
            </w:r>
            <w:r w:rsidRPr="006842D5">
              <w:rPr>
                <w:rFonts w:ascii="Times New Roman" w:eastAsia="맑은 고딕" w:hAnsi="Times New Roman" w:cs="Times New Roman"/>
                <w:sz w:val="21"/>
                <w:szCs w:val="21"/>
              </w:rPr>
              <w:t xml:space="preserve"> genotype and folate deficiency were relatively low.</w:t>
            </w:r>
          </w:p>
        </w:tc>
      </w:tr>
      <w:tr w:rsidR="006842D5" w:rsidRPr="006842D5" w14:paraId="283C4B4B" w14:textId="77777777" w:rsidTr="00EE4C12">
        <w:tc>
          <w:tcPr>
            <w:tcW w:w="1872" w:type="dxa"/>
            <w:vAlign w:val="center"/>
          </w:tcPr>
          <w:p w14:paraId="55D82659" w14:textId="77777777" w:rsidR="00EE4C12" w:rsidRPr="006842D5" w:rsidRDefault="00EE4C12" w:rsidP="00EE4C12">
            <w:pPr>
              <w:pStyle w:val="a6"/>
              <w:rPr>
                <w:rFonts w:ascii="Times New Roman" w:hAnsi="Times New Roman" w:cs="Times New Roman"/>
                <w:sz w:val="21"/>
                <w:szCs w:val="21"/>
              </w:rPr>
            </w:pPr>
          </w:p>
        </w:tc>
        <w:tc>
          <w:tcPr>
            <w:tcW w:w="2618" w:type="dxa"/>
            <w:vAlign w:val="center"/>
          </w:tcPr>
          <w:p w14:paraId="6043F5C7" w14:textId="77777777" w:rsidR="00EE4C12" w:rsidRPr="006842D5" w:rsidRDefault="00EE4C12" w:rsidP="00EE4C12">
            <w:pPr>
              <w:jc w:val="left"/>
              <w:rPr>
                <w:rFonts w:ascii="Times New Roman" w:eastAsia="맑은 고딕" w:hAnsi="Times New Roman" w:cs="Times New Roman"/>
                <w:sz w:val="21"/>
                <w:szCs w:val="21"/>
              </w:rPr>
            </w:pPr>
            <w:proofErr w:type="spellStart"/>
            <w:r w:rsidRPr="006842D5">
              <w:rPr>
                <w:rFonts w:ascii="Times New Roman" w:eastAsia="맑은 고딕" w:hAnsi="Times New Roman" w:cs="Times New Roman"/>
                <w:sz w:val="21"/>
                <w:szCs w:val="21"/>
              </w:rPr>
              <w:t>Paraoxonase</w:t>
            </w:r>
            <w:proofErr w:type="spellEnd"/>
            <w:r w:rsidRPr="006842D5">
              <w:rPr>
                <w:rFonts w:ascii="Times New Roman" w:eastAsia="맑은 고딕" w:hAnsi="Times New Roman" w:cs="Times New Roman"/>
                <w:sz w:val="21"/>
                <w:szCs w:val="21"/>
              </w:rPr>
              <w:t xml:space="preserve"> gene polymorphism and vitamin levels during pregnancy</w:t>
            </w:r>
          </w:p>
        </w:tc>
        <w:tc>
          <w:tcPr>
            <w:tcW w:w="1948" w:type="dxa"/>
            <w:vAlign w:val="center"/>
          </w:tcPr>
          <w:p w14:paraId="2A38BE24"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Maternal oxidative stress and neonatal birthweights</w:t>
            </w:r>
          </w:p>
        </w:tc>
        <w:tc>
          <w:tcPr>
            <w:tcW w:w="2097" w:type="dxa"/>
            <w:vAlign w:val="center"/>
          </w:tcPr>
          <w:p w14:paraId="5DE345AA" w14:textId="7F5E5AAB" w:rsidR="00EE4C12" w:rsidRPr="006842D5" w:rsidRDefault="00EE4C12" w:rsidP="00EE4C12">
            <w:pPr>
              <w:jc w:val="left"/>
              <w:rPr>
                <w:rFonts w:ascii="Times New Roman" w:eastAsia="맑은 고딕" w:hAnsi="Times New Roman" w:cs="Times New Roman"/>
                <w:sz w:val="21"/>
                <w:szCs w:val="21"/>
              </w:rPr>
            </w:pPr>
            <w:proofErr w:type="spellStart"/>
            <w:r w:rsidRPr="006842D5">
              <w:rPr>
                <w:rFonts w:ascii="Times New Roman" w:eastAsia="맑은 고딕" w:hAnsi="Times New Roman" w:cs="Times New Roman"/>
                <w:sz w:val="21"/>
                <w:szCs w:val="21"/>
              </w:rPr>
              <w:t>Reprod</w:t>
            </w:r>
            <w:proofErr w:type="spellEnd"/>
            <w:r w:rsidRPr="006842D5">
              <w:rPr>
                <w:rFonts w:ascii="Times New Roman" w:eastAsia="맑은 고딕" w:hAnsi="Times New Roman" w:cs="Times New Roman"/>
                <w:sz w:val="21"/>
                <w:szCs w:val="21"/>
              </w:rPr>
              <w:t xml:space="preserve"> </w:t>
            </w:r>
            <w:proofErr w:type="spellStart"/>
            <w:r w:rsidRPr="006842D5">
              <w:rPr>
                <w:rFonts w:ascii="Times New Roman" w:eastAsia="맑은 고딕" w:hAnsi="Times New Roman" w:cs="Times New Roman"/>
                <w:sz w:val="21"/>
                <w:szCs w:val="21"/>
              </w:rPr>
              <w:t>Toxicol</w:t>
            </w:r>
            <w:proofErr w:type="spellEnd"/>
            <w:r w:rsidRPr="006842D5">
              <w:rPr>
                <w:rFonts w:ascii="Times New Roman" w:eastAsia="맑은 고딕" w:hAnsi="Times New Roman" w:cs="Times New Roman"/>
                <w:sz w:val="21"/>
                <w:szCs w:val="21"/>
              </w:rPr>
              <w:t xml:space="preserve">. 2006; 22(3): 418-24. </w:t>
            </w:r>
          </w:p>
        </w:tc>
        <w:tc>
          <w:tcPr>
            <w:tcW w:w="6143" w:type="dxa"/>
            <w:vAlign w:val="center"/>
          </w:tcPr>
          <w:p w14:paraId="72F47BBF" w14:textId="22F7EF15"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Oxidative stress during pregnancy was affected by serum vitamins C and E, and PON polymorphism.</w:t>
            </w:r>
          </w:p>
        </w:tc>
      </w:tr>
      <w:tr w:rsidR="006842D5" w:rsidRPr="006842D5" w14:paraId="62D9A11A" w14:textId="77777777" w:rsidTr="00EE4C12">
        <w:tc>
          <w:tcPr>
            <w:tcW w:w="1872" w:type="dxa"/>
            <w:vAlign w:val="center"/>
          </w:tcPr>
          <w:p w14:paraId="2C214E4B" w14:textId="77777777" w:rsidR="00EE4C12" w:rsidRPr="006842D5" w:rsidRDefault="00EE4C12" w:rsidP="00EE4C12">
            <w:pPr>
              <w:pStyle w:val="a6"/>
              <w:rPr>
                <w:rFonts w:ascii="Times New Roman" w:hAnsi="Times New Roman" w:cs="Times New Roman"/>
                <w:sz w:val="21"/>
                <w:szCs w:val="21"/>
              </w:rPr>
            </w:pPr>
          </w:p>
        </w:tc>
        <w:tc>
          <w:tcPr>
            <w:tcW w:w="2618" w:type="dxa"/>
            <w:shd w:val="clear" w:color="auto" w:fill="F2F2F2" w:themeFill="background1" w:themeFillShade="F2"/>
            <w:vAlign w:val="center"/>
          </w:tcPr>
          <w:p w14:paraId="14C5691E" w14:textId="62B6D54A"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Maternal micronutrient levels and oxidative stress</w:t>
            </w:r>
          </w:p>
        </w:tc>
        <w:tc>
          <w:tcPr>
            <w:tcW w:w="1948" w:type="dxa"/>
            <w:shd w:val="clear" w:color="auto" w:fill="F2F2F2" w:themeFill="background1" w:themeFillShade="F2"/>
            <w:vAlign w:val="center"/>
          </w:tcPr>
          <w:p w14:paraId="745E5D84"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Growth during the first year of life</w:t>
            </w:r>
          </w:p>
        </w:tc>
        <w:tc>
          <w:tcPr>
            <w:tcW w:w="2097" w:type="dxa"/>
            <w:shd w:val="clear" w:color="auto" w:fill="F2F2F2" w:themeFill="background1" w:themeFillShade="F2"/>
            <w:vAlign w:val="center"/>
          </w:tcPr>
          <w:p w14:paraId="633684F1" w14:textId="61C9412A"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Public Health </w:t>
            </w:r>
            <w:proofErr w:type="spellStart"/>
            <w:r w:rsidRPr="006842D5">
              <w:rPr>
                <w:rFonts w:ascii="Times New Roman" w:hAnsi="Times New Roman" w:cs="Times New Roman"/>
                <w:sz w:val="21"/>
                <w:szCs w:val="21"/>
              </w:rPr>
              <w:t>Nutr</w:t>
            </w:r>
            <w:proofErr w:type="spellEnd"/>
            <w:r w:rsidRPr="006842D5">
              <w:rPr>
                <w:rFonts w:ascii="Times New Roman" w:hAnsi="Times New Roman" w:cs="Times New Roman"/>
                <w:sz w:val="21"/>
                <w:szCs w:val="21"/>
              </w:rPr>
              <w:t xml:space="preserve">. 2008; 11(10): 998-1005. </w:t>
            </w:r>
          </w:p>
        </w:tc>
        <w:tc>
          <w:tcPr>
            <w:tcW w:w="6143" w:type="dxa"/>
            <w:shd w:val="clear" w:color="auto" w:fill="F2F2F2" w:themeFill="background1" w:themeFillShade="F2"/>
            <w:vAlign w:val="center"/>
          </w:tcPr>
          <w:p w14:paraId="3D96F249"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Maternal serum vitamin C values during pregnancy were positively associated with the growth of offspring during the first year of life. The effect of folate status during pregnancy on the growth of offspring was not significant after adjusting for the covariates. </w:t>
            </w:r>
          </w:p>
        </w:tc>
      </w:tr>
      <w:tr w:rsidR="006842D5" w:rsidRPr="006842D5" w14:paraId="2997890A" w14:textId="77777777" w:rsidTr="00EE4C12">
        <w:tc>
          <w:tcPr>
            <w:tcW w:w="1872" w:type="dxa"/>
            <w:vAlign w:val="center"/>
          </w:tcPr>
          <w:p w14:paraId="52064054" w14:textId="77777777" w:rsidR="00EE4C12" w:rsidRPr="006842D5" w:rsidRDefault="00EE4C12" w:rsidP="00EE4C12">
            <w:pPr>
              <w:pStyle w:val="a6"/>
              <w:rPr>
                <w:rFonts w:ascii="Times New Roman" w:hAnsi="Times New Roman" w:cs="Times New Roman"/>
                <w:sz w:val="21"/>
                <w:szCs w:val="21"/>
              </w:rPr>
            </w:pPr>
          </w:p>
        </w:tc>
        <w:tc>
          <w:tcPr>
            <w:tcW w:w="2618" w:type="dxa"/>
            <w:vAlign w:val="center"/>
          </w:tcPr>
          <w:p w14:paraId="54DEC735"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Oxidative stress (from mid pregnancy to delivery)</w:t>
            </w:r>
          </w:p>
        </w:tc>
        <w:tc>
          <w:tcPr>
            <w:tcW w:w="1948" w:type="dxa"/>
            <w:vAlign w:val="center"/>
          </w:tcPr>
          <w:p w14:paraId="018D1D4A"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Birth size</w:t>
            </w:r>
          </w:p>
        </w:tc>
        <w:tc>
          <w:tcPr>
            <w:tcW w:w="2097" w:type="dxa"/>
            <w:vAlign w:val="center"/>
          </w:tcPr>
          <w:p w14:paraId="1DA95BFA" w14:textId="00D5C998"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Placenta. 2009; 30(5): 418-23. </w:t>
            </w:r>
          </w:p>
        </w:tc>
        <w:tc>
          <w:tcPr>
            <w:tcW w:w="6143" w:type="dxa"/>
            <w:vAlign w:val="center"/>
          </w:tcPr>
          <w:p w14:paraId="053A533A" w14:textId="1F6208BA"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There was no correlation between levels of oxidative stress in urine during pregnancy and in the placenta during delivery, but their interaction effects on birth size were significant.</w:t>
            </w:r>
          </w:p>
        </w:tc>
      </w:tr>
      <w:tr w:rsidR="006842D5" w:rsidRPr="006842D5" w14:paraId="0FE2FB84" w14:textId="77777777" w:rsidTr="00EE4C12">
        <w:tc>
          <w:tcPr>
            <w:tcW w:w="1872" w:type="dxa"/>
            <w:vAlign w:val="center"/>
          </w:tcPr>
          <w:p w14:paraId="3570FFDD" w14:textId="77777777" w:rsidR="00EE4C12" w:rsidRPr="006842D5" w:rsidRDefault="00EE4C12" w:rsidP="00EE4C12">
            <w:pPr>
              <w:pStyle w:val="a6"/>
              <w:rPr>
                <w:rFonts w:ascii="Times New Roman" w:hAnsi="Times New Roman" w:cs="Times New Roman"/>
                <w:sz w:val="21"/>
                <w:szCs w:val="21"/>
              </w:rPr>
            </w:pPr>
          </w:p>
        </w:tc>
        <w:tc>
          <w:tcPr>
            <w:tcW w:w="2618" w:type="dxa"/>
            <w:shd w:val="clear" w:color="auto" w:fill="F2F2F2" w:themeFill="background1" w:themeFillShade="F2"/>
            <w:vAlign w:val="center"/>
          </w:tcPr>
          <w:p w14:paraId="4B149E75"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Maternal MTHFR C677T genotype</w:t>
            </w:r>
          </w:p>
        </w:tc>
        <w:tc>
          <w:tcPr>
            <w:tcW w:w="1948" w:type="dxa"/>
            <w:shd w:val="clear" w:color="auto" w:fill="F2F2F2" w:themeFill="background1" w:themeFillShade="F2"/>
            <w:vAlign w:val="center"/>
          </w:tcPr>
          <w:p w14:paraId="710FD680" w14:textId="230ADCFA"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Birthweight</w:t>
            </w:r>
          </w:p>
        </w:tc>
        <w:tc>
          <w:tcPr>
            <w:tcW w:w="2097" w:type="dxa"/>
            <w:shd w:val="clear" w:color="auto" w:fill="F2F2F2" w:themeFill="background1" w:themeFillShade="F2"/>
            <w:vAlign w:val="center"/>
          </w:tcPr>
          <w:p w14:paraId="07A4F134" w14:textId="24A37DD3"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J Epidemiol. 2013; 23(5): 371-5. </w:t>
            </w:r>
          </w:p>
        </w:tc>
        <w:tc>
          <w:tcPr>
            <w:tcW w:w="6143" w:type="dxa"/>
            <w:shd w:val="clear" w:color="auto" w:fill="F2F2F2" w:themeFill="background1" w:themeFillShade="F2"/>
            <w:vAlign w:val="center"/>
          </w:tcPr>
          <w:p w14:paraId="5DC5FF60" w14:textId="1AA87179"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Maternal homocysteine levels explained by the MTHFR C677T genotype were negatively related to birthweight.</w:t>
            </w:r>
          </w:p>
        </w:tc>
      </w:tr>
      <w:tr w:rsidR="006842D5" w:rsidRPr="006842D5" w14:paraId="7BE50A7E" w14:textId="77777777" w:rsidTr="00EE4C12">
        <w:tc>
          <w:tcPr>
            <w:tcW w:w="1872" w:type="dxa"/>
            <w:vAlign w:val="center"/>
          </w:tcPr>
          <w:p w14:paraId="11D7B12D" w14:textId="77777777" w:rsidR="00EE4C12" w:rsidRPr="006842D5" w:rsidRDefault="00EE4C12" w:rsidP="00EE4C12">
            <w:pPr>
              <w:pStyle w:val="a6"/>
              <w:rPr>
                <w:rFonts w:ascii="Times New Roman" w:hAnsi="Times New Roman" w:cs="Times New Roman"/>
                <w:sz w:val="21"/>
                <w:szCs w:val="21"/>
              </w:rPr>
            </w:pPr>
          </w:p>
        </w:tc>
        <w:tc>
          <w:tcPr>
            <w:tcW w:w="2618" w:type="dxa"/>
            <w:vAlign w:val="center"/>
          </w:tcPr>
          <w:p w14:paraId="1AB4C3FF" w14:textId="1FD0A5BB"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Maternal micronutrient levels and oxidative stress </w:t>
            </w:r>
          </w:p>
        </w:tc>
        <w:tc>
          <w:tcPr>
            <w:tcW w:w="1948" w:type="dxa"/>
            <w:vAlign w:val="center"/>
          </w:tcPr>
          <w:p w14:paraId="23CFCD67"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Growth during the first 3 years of life</w:t>
            </w:r>
          </w:p>
        </w:tc>
        <w:tc>
          <w:tcPr>
            <w:tcW w:w="2097" w:type="dxa"/>
            <w:vAlign w:val="center"/>
          </w:tcPr>
          <w:p w14:paraId="7607B1FF" w14:textId="2F1EC492"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Food </w:t>
            </w:r>
            <w:proofErr w:type="spellStart"/>
            <w:r w:rsidRPr="006842D5">
              <w:rPr>
                <w:rFonts w:ascii="Times New Roman" w:hAnsi="Times New Roman" w:cs="Times New Roman"/>
                <w:sz w:val="21"/>
                <w:szCs w:val="21"/>
              </w:rPr>
              <w:t>Nutr</w:t>
            </w:r>
            <w:proofErr w:type="spellEnd"/>
            <w:r w:rsidRPr="006842D5">
              <w:rPr>
                <w:rFonts w:ascii="Times New Roman" w:hAnsi="Times New Roman" w:cs="Times New Roman"/>
                <w:sz w:val="21"/>
                <w:szCs w:val="21"/>
              </w:rPr>
              <w:t xml:space="preserve"> Res. 2014;58. </w:t>
            </w:r>
          </w:p>
        </w:tc>
        <w:tc>
          <w:tcPr>
            <w:tcW w:w="6143" w:type="dxa"/>
            <w:vAlign w:val="center"/>
          </w:tcPr>
          <w:p w14:paraId="20446BB7"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Maternal serum vitamin A and C values during pregnancy were positively associated with the growth of offspring during the first 3 years of life.</w:t>
            </w:r>
          </w:p>
        </w:tc>
      </w:tr>
      <w:tr w:rsidR="006842D5" w:rsidRPr="006842D5" w14:paraId="101B95F6" w14:textId="77777777" w:rsidTr="00EE4C12">
        <w:tc>
          <w:tcPr>
            <w:tcW w:w="1872" w:type="dxa"/>
            <w:vAlign w:val="center"/>
          </w:tcPr>
          <w:p w14:paraId="1CD07AC3" w14:textId="77777777" w:rsidR="00EE4C12" w:rsidRPr="006842D5" w:rsidRDefault="00EE4C12" w:rsidP="00EE4C12">
            <w:pPr>
              <w:pStyle w:val="a6"/>
              <w:rPr>
                <w:rFonts w:ascii="Times New Roman" w:hAnsi="Times New Roman" w:cs="Times New Roman"/>
                <w:sz w:val="21"/>
                <w:szCs w:val="21"/>
              </w:rPr>
            </w:pPr>
          </w:p>
        </w:tc>
        <w:tc>
          <w:tcPr>
            <w:tcW w:w="2618" w:type="dxa"/>
            <w:shd w:val="clear" w:color="auto" w:fill="F2F2F2" w:themeFill="background1" w:themeFillShade="F2"/>
            <w:vAlign w:val="center"/>
          </w:tcPr>
          <w:p w14:paraId="05024F67"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Breast-feeding</w:t>
            </w:r>
          </w:p>
        </w:tc>
        <w:tc>
          <w:tcPr>
            <w:tcW w:w="1948" w:type="dxa"/>
            <w:shd w:val="clear" w:color="auto" w:fill="F2F2F2" w:themeFill="background1" w:themeFillShade="F2"/>
            <w:vAlign w:val="center"/>
          </w:tcPr>
          <w:p w14:paraId="44ACDD9D" w14:textId="77777777"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Pubertal development</w:t>
            </w:r>
          </w:p>
        </w:tc>
        <w:tc>
          <w:tcPr>
            <w:tcW w:w="2097" w:type="dxa"/>
            <w:shd w:val="clear" w:color="auto" w:fill="F2F2F2" w:themeFill="background1" w:themeFillShade="F2"/>
            <w:vAlign w:val="center"/>
          </w:tcPr>
          <w:p w14:paraId="36BE968B" w14:textId="4A67EDDE"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 xml:space="preserve">Public Health </w:t>
            </w:r>
            <w:proofErr w:type="spellStart"/>
            <w:r w:rsidRPr="006842D5">
              <w:rPr>
                <w:rFonts w:ascii="Times New Roman" w:hAnsi="Times New Roman" w:cs="Times New Roman"/>
                <w:sz w:val="21"/>
                <w:szCs w:val="21"/>
              </w:rPr>
              <w:t>Nutr</w:t>
            </w:r>
            <w:proofErr w:type="spellEnd"/>
            <w:r w:rsidRPr="006842D5">
              <w:rPr>
                <w:rFonts w:ascii="Times New Roman" w:hAnsi="Times New Roman" w:cs="Times New Roman"/>
                <w:sz w:val="21"/>
                <w:szCs w:val="21"/>
              </w:rPr>
              <w:t>. 2015; 18(18): 3300-7.</w:t>
            </w:r>
          </w:p>
        </w:tc>
        <w:tc>
          <w:tcPr>
            <w:tcW w:w="6143" w:type="dxa"/>
            <w:shd w:val="clear" w:color="auto" w:fill="F2F2F2" w:themeFill="background1" w:themeFillShade="F2"/>
            <w:vAlign w:val="center"/>
          </w:tcPr>
          <w:p w14:paraId="48A2296A" w14:textId="38E15DA2" w:rsidR="00EE4C12" w:rsidRPr="006842D5" w:rsidRDefault="00EE4C12" w:rsidP="00EE4C12">
            <w:pPr>
              <w:pStyle w:val="a6"/>
              <w:jc w:val="left"/>
              <w:rPr>
                <w:rFonts w:ascii="Times New Roman" w:hAnsi="Times New Roman" w:cs="Times New Roman"/>
                <w:sz w:val="21"/>
                <w:szCs w:val="21"/>
              </w:rPr>
            </w:pPr>
            <w:r w:rsidRPr="006842D5">
              <w:rPr>
                <w:rFonts w:ascii="Times New Roman" w:hAnsi="Times New Roman" w:cs="Times New Roman"/>
                <w:sz w:val="21"/>
                <w:szCs w:val="21"/>
              </w:rPr>
              <w:t>The patterns of weight change from birth to follow-up varied with early puberty development. Beneficial effects of breast-feeding on early puberty development have been found.</w:t>
            </w:r>
          </w:p>
        </w:tc>
      </w:tr>
      <w:tr w:rsidR="006842D5" w:rsidRPr="006842D5" w14:paraId="5C8BE254" w14:textId="77777777" w:rsidTr="00EE4C12">
        <w:tc>
          <w:tcPr>
            <w:tcW w:w="1872" w:type="dxa"/>
            <w:vAlign w:val="center"/>
          </w:tcPr>
          <w:p w14:paraId="0D54B8AA" w14:textId="77777777" w:rsidR="00EE4C12" w:rsidRPr="006842D5" w:rsidRDefault="00EE4C12" w:rsidP="00EE4C12">
            <w:pPr>
              <w:pStyle w:val="a6"/>
              <w:rPr>
                <w:rFonts w:ascii="Times New Roman" w:hAnsi="Times New Roman" w:cs="Times New Roman"/>
                <w:sz w:val="21"/>
                <w:szCs w:val="21"/>
              </w:rPr>
            </w:pPr>
          </w:p>
        </w:tc>
        <w:tc>
          <w:tcPr>
            <w:tcW w:w="2618" w:type="dxa"/>
            <w:vAlign w:val="center"/>
          </w:tcPr>
          <w:p w14:paraId="063D1160"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Adrenal androgen levels </w:t>
            </w:r>
          </w:p>
        </w:tc>
        <w:tc>
          <w:tcPr>
            <w:tcW w:w="1948" w:type="dxa"/>
            <w:vAlign w:val="center"/>
          </w:tcPr>
          <w:p w14:paraId="6FD04B84" w14:textId="40250302"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Bone age </w:t>
            </w:r>
            <w:r w:rsidRPr="006842D5">
              <w:rPr>
                <w:rFonts w:ascii="Times New Roman" w:eastAsia="맑은 고딕" w:hAnsi="Times New Roman" w:cs="Times New Roman"/>
                <w:sz w:val="21"/>
                <w:szCs w:val="21"/>
              </w:rPr>
              <w:lastRenderedPageBreak/>
              <w:t>advancement</w:t>
            </w:r>
          </w:p>
        </w:tc>
        <w:tc>
          <w:tcPr>
            <w:tcW w:w="2097" w:type="dxa"/>
            <w:vAlign w:val="center"/>
          </w:tcPr>
          <w:p w14:paraId="24EDF746" w14:textId="101D3129"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lastRenderedPageBreak/>
              <w:t xml:space="preserve">J Korean Med Sci. </w:t>
            </w:r>
            <w:r w:rsidRPr="006842D5">
              <w:rPr>
                <w:rFonts w:ascii="Times New Roman" w:eastAsia="맑은 고딕" w:hAnsi="Times New Roman" w:cs="Times New Roman"/>
                <w:sz w:val="21"/>
                <w:szCs w:val="21"/>
              </w:rPr>
              <w:lastRenderedPageBreak/>
              <w:t xml:space="preserve">2017; 32(6): 968-73. </w:t>
            </w:r>
          </w:p>
        </w:tc>
        <w:tc>
          <w:tcPr>
            <w:tcW w:w="6143" w:type="dxa"/>
            <w:vAlign w:val="center"/>
          </w:tcPr>
          <w:p w14:paraId="5833F6B2"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lastRenderedPageBreak/>
              <w:t xml:space="preserve">Bone age (BA) advancement was positively associated with </w:t>
            </w:r>
            <w:r w:rsidRPr="006842D5">
              <w:rPr>
                <w:rFonts w:ascii="Times New Roman" w:eastAsia="맑은 고딕" w:hAnsi="Times New Roman" w:cs="Times New Roman"/>
                <w:sz w:val="21"/>
                <w:szCs w:val="21"/>
              </w:rPr>
              <w:lastRenderedPageBreak/>
              <w:t>androstenedione and testosterone levels regardless of body mass index.</w:t>
            </w:r>
          </w:p>
        </w:tc>
      </w:tr>
    </w:tbl>
    <w:p w14:paraId="7D769E48" w14:textId="714A7B19" w:rsidR="00145D74" w:rsidRPr="006842D5" w:rsidRDefault="00145D74" w:rsidP="004E137D">
      <w:pPr>
        <w:pStyle w:val="a6"/>
        <w:rPr>
          <w:rFonts w:ascii="Times New Roman" w:hAnsi="Times New Roman" w:cs="Times New Roman"/>
          <w:sz w:val="24"/>
          <w:szCs w:val="24"/>
        </w:rPr>
      </w:pPr>
    </w:p>
    <w:p w14:paraId="5C771E48" w14:textId="77777777" w:rsidR="00EE4C12" w:rsidRPr="006842D5" w:rsidRDefault="00EE4C12" w:rsidP="00EE4C12">
      <w:pPr>
        <w:pStyle w:val="a6"/>
        <w:spacing w:line="360" w:lineRule="auto"/>
        <w:rPr>
          <w:rFonts w:ascii="Times New Roman" w:hAnsi="Times New Roman" w:cs="Times New Roman"/>
          <w:sz w:val="24"/>
          <w:szCs w:val="28"/>
        </w:rPr>
      </w:pPr>
    </w:p>
    <w:p w14:paraId="51617028" w14:textId="3F76E524" w:rsidR="00EE4C12" w:rsidRPr="006842D5" w:rsidRDefault="00EE4C12" w:rsidP="00EE4C12">
      <w:pPr>
        <w:pStyle w:val="a6"/>
        <w:spacing w:line="360" w:lineRule="auto"/>
        <w:rPr>
          <w:rFonts w:ascii="Times New Roman" w:hAnsi="Times New Roman" w:cs="Times New Roman"/>
          <w:sz w:val="24"/>
          <w:szCs w:val="28"/>
        </w:rPr>
      </w:pPr>
      <w:r w:rsidRPr="006842D5">
        <w:rPr>
          <w:rFonts w:ascii="Times New Roman" w:hAnsi="Times New Roman" w:cs="Times New Roman"/>
          <w:sz w:val="24"/>
          <w:szCs w:val="28"/>
        </w:rPr>
        <w:t xml:space="preserve">Supplemental Table 1. </w:t>
      </w:r>
      <w:r w:rsidR="006130CF" w:rsidRPr="006842D5">
        <w:rPr>
          <w:rFonts w:ascii="Times New Roman" w:hAnsi="Times New Roman" w:cs="Times New Roman"/>
          <w:sz w:val="24"/>
          <w:szCs w:val="24"/>
        </w:rPr>
        <w:t>Research hypothesis</w:t>
      </w:r>
      <w:r w:rsidR="006130CF" w:rsidRPr="006842D5">
        <w:rPr>
          <w:rFonts w:ascii="Times New Roman" w:hAnsi="Times New Roman" w:cs="Times New Roman"/>
          <w:sz w:val="24"/>
          <w:szCs w:val="28"/>
        </w:rPr>
        <w:t xml:space="preserve"> </w:t>
      </w:r>
      <w:r w:rsidRPr="006842D5">
        <w:rPr>
          <w:rFonts w:ascii="Times New Roman" w:hAnsi="Times New Roman" w:cs="Times New Roman"/>
          <w:sz w:val="24"/>
          <w:szCs w:val="28"/>
        </w:rPr>
        <w:t>(c</w:t>
      </w:r>
      <w:r w:rsidRPr="006842D5">
        <w:rPr>
          <w:rFonts w:ascii="Times New Roman" w:hAnsi="Times New Roman" w:cs="Times New Roman" w:hint="eastAsia"/>
          <w:sz w:val="24"/>
          <w:szCs w:val="28"/>
        </w:rPr>
        <w:t>ontinued)</w:t>
      </w:r>
      <w:r w:rsidRPr="006842D5">
        <w:rPr>
          <w:rFonts w:ascii="Times New Roman" w:hAnsi="Times New Roman" w:cs="Times New Roman"/>
          <w:sz w:val="24"/>
          <w:szCs w:val="28"/>
        </w:rPr>
        <w:t>.</w:t>
      </w: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2610"/>
        <w:gridCol w:w="1942"/>
        <w:gridCol w:w="2090"/>
        <w:gridCol w:w="6123"/>
      </w:tblGrid>
      <w:tr w:rsidR="006842D5" w:rsidRPr="006842D5" w14:paraId="6233F7FF" w14:textId="77777777" w:rsidTr="00EE4C12">
        <w:tc>
          <w:tcPr>
            <w:tcW w:w="1913" w:type="dxa"/>
            <w:tcBorders>
              <w:top w:val="single" w:sz="4" w:space="0" w:color="auto"/>
              <w:bottom w:val="single" w:sz="4" w:space="0" w:color="auto"/>
            </w:tcBorders>
            <w:vAlign w:val="center"/>
          </w:tcPr>
          <w:p w14:paraId="4AA33454" w14:textId="79AEFBEC"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Category</w:t>
            </w:r>
          </w:p>
        </w:tc>
        <w:tc>
          <w:tcPr>
            <w:tcW w:w="2610" w:type="dxa"/>
            <w:tcBorders>
              <w:top w:val="single" w:sz="4" w:space="0" w:color="auto"/>
              <w:bottom w:val="single" w:sz="4" w:space="0" w:color="auto"/>
            </w:tcBorders>
            <w:vAlign w:val="center"/>
          </w:tcPr>
          <w:p w14:paraId="721B643D" w14:textId="49038E49"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Independent factors</w:t>
            </w:r>
          </w:p>
        </w:tc>
        <w:tc>
          <w:tcPr>
            <w:tcW w:w="1942" w:type="dxa"/>
            <w:tcBorders>
              <w:top w:val="single" w:sz="4" w:space="0" w:color="auto"/>
              <w:bottom w:val="single" w:sz="4" w:space="0" w:color="auto"/>
            </w:tcBorders>
            <w:vAlign w:val="center"/>
          </w:tcPr>
          <w:p w14:paraId="1FE15D51" w14:textId="2876629C"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Outcomes</w:t>
            </w:r>
          </w:p>
        </w:tc>
        <w:tc>
          <w:tcPr>
            <w:tcW w:w="2090" w:type="dxa"/>
            <w:tcBorders>
              <w:top w:val="single" w:sz="4" w:space="0" w:color="auto"/>
              <w:bottom w:val="single" w:sz="4" w:space="0" w:color="auto"/>
            </w:tcBorders>
            <w:vAlign w:val="center"/>
          </w:tcPr>
          <w:p w14:paraId="23C5A84C" w14:textId="60B1B736"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Ref</w:t>
            </w:r>
          </w:p>
        </w:tc>
        <w:tc>
          <w:tcPr>
            <w:tcW w:w="6123" w:type="dxa"/>
            <w:tcBorders>
              <w:top w:val="single" w:sz="4" w:space="0" w:color="auto"/>
              <w:bottom w:val="single" w:sz="4" w:space="0" w:color="auto"/>
            </w:tcBorders>
            <w:vAlign w:val="center"/>
          </w:tcPr>
          <w:p w14:paraId="70D6241A" w14:textId="1CCE89D5"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Summary</w:t>
            </w:r>
          </w:p>
        </w:tc>
      </w:tr>
      <w:tr w:rsidR="006842D5" w:rsidRPr="006842D5" w14:paraId="2D9908F7" w14:textId="77777777" w:rsidTr="00EE4C12">
        <w:tc>
          <w:tcPr>
            <w:tcW w:w="1913" w:type="dxa"/>
            <w:tcBorders>
              <w:top w:val="single" w:sz="4" w:space="0" w:color="auto"/>
            </w:tcBorders>
            <w:vAlign w:val="center"/>
          </w:tcPr>
          <w:p w14:paraId="7EBDE9E5" w14:textId="24656DED" w:rsidR="00EE4C12" w:rsidRPr="006842D5" w:rsidRDefault="00EE4C12" w:rsidP="00EE4C12">
            <w:pPr>
              <w:pStyle w:val="a6"/>
              <w:rPr>
                <w:rFonts w:ascii="Times New Roman" w:hAnsi="Times New Roman" w:cs="Times New Roman"/>
                <w:sz w:val="21"/>
                <w:szCs w:val="21"/>
              </w:rPr>
            </w:pPr>
            <w:r w:rsidRPr="006842D5">
              <w:rPr>
                <w:rFonts w:ascii="Times New Roman" w:hAnsi="Times New Roman" w:cs="Times New Roman"/>
                <w:bCs/>
                <w:sz w:val="21"/>
                <w:szCs w:val="21"/>
              </w:rPr>
              <w:t>Birthweight &amp; growth</w:t>
            </w:r>
          </w:p>
        </w:tc>
        <w:tc>
          <w:tcPr>
            <w:tcW w:w="2610" w:type="dxa"/>
            <w:tcBorders>
              <w:top w:val="single" w:sz="4" w:space="0" w:color="auto"/>
            </w:tcBorders>
            <w:vAlign w:val="center"/>
          </w:tcPr>
          <w:p w14:paraId="56C2E47C"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MKRN3 and LIN28B gene polymorphisms</w:t>
            </w:r>
          </w:p>
        </w:tc>
        <w:tc>
          <w:tcPr>
            <w:tcW w:w="1942" w:type="dxa"/>
            <w:tcBorders>
              <w:top w:val="single" w:sz="4" w:space="0" w:color="auto"/>
            </w:tcBorders>
            <w:vAlign w:val="center"/>
          </w:tcPr>
          <w:p w14:paraId="0DC45147"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Precocious puberty in Korean boys and girls</w:t>
            </w:r>
          </w:p>
        </w:tc>
        <w:tc>
          <w:tcPr>
            <w:tcW w:w="2090" w:type="dxa"/>
            <w:tcBorders>
              <w:top w:val="single" w:sz="4" w:space="0" w:color="auto"/>
            </w:tcBorders>
            <w:vAlign w:val="center"/>
          </w:tcPr>
          <w:p w14:paraId="3F6EB74E" w14:textId="767FBEE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BMC Genet. 2018; 19(1): 47. </w:t>
            </w:r>
          </w:p>
        </w:tc>
        <w:tc>
          <w:tcPr>
            <w:tcW w:w="6123" w:type="dxa"/>
            <w:tcBorders>
              <w:top w:val="single" w:sz="4" w:space="0" w:color="auto"/>
            </w:tcBorders>
            <w:vAlign w:val="center"/>
          </w:tcPr>
          <w:p w14:paraId="157B131D" w14:textId="719EC3B1"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Boys with TT alleles in rs12441827 had about four-times greater risk for precocious puberty compared to C allele carriers.</w:t>
            </w:r>
          </w:p>
        </w:tc>
      </w:tr>
      <w:tr w:rsidR="006842D5" w:rsidRPr="006842D5" w14:paraId="688420CB" w14:textId="77777777" w:rsidTr="00EE4C12">
        <w:tc>
          <w:tcPr>
            <w:tcW w:w="1913" w:type="dxa"/>
            <w:vAlign w:val="center"/>
          </w:tcPr>
          <w:p w14:paraId="62F9C5DE"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r w:rsidRPr="006842D5">
              <w:rPr>
                <w:rFonts w:ascii="Times New Roman" w:eastAsia="맑은 고딕" w:hAnsi="Times New Roman" w:cs="Times New Roman"/>
                <w:bCs/>
                <w:sz w:val="21"/>
                <w:szCs w:val="21"/>
              </w:rPr>
              <w:t xml:space="preserve">Cardiometabolic risk </w:t>
            </w:r>
          </w:p>
        </w:tc>
        <w:tc>
          <w:tcPr>
            <w:tcW w:w="2610" w:type="dxa"/>
            <w:shd w:val="clear" w:color="auto" w:fill="F2F2F2" w:themeFill="background1" w:themeFillShade="F2"/>
            <w:vAlign w:val="center"/>
          </w:tcPr>
          <w:p w14:paraId="2328C332"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Intrauterine growth variables</w:t>
            </w:r>
          </w:p>
        </w:tc>
        <w:tc>
          <w:tcPr>
            <w:tcW w:w="1942" w:type="dxa"/>
            <w:shd w:val="clear" w:color="auto" w:fill="F2F2F2" w:themeFill="background1" w:themeFillShade="F2"/>
            <w:vAlign w:val="center"/>
          </w:tcPr>
          <w:p w14:paraId="6DD51E11"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Neonatal blood pressure</w:t>
            </w:r>
          </w:p>
        </w:tc>
        <w:tc>
          <w:tcPr>
            <w:tcW w:w="2090" w:type="dxa"/>
            <w:shd w:val="clear" w:color="auto" w:fill="F2F2F2" w:themeFill="background1" w:themeFillShade="F2"/>
            <w:vAlign w:val="center"/>
          </w:tcPr>
          <w:p w14:paraId="23EF6844" w14:textId="1DCB9DFB"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Korean Journal of Pediatrics. 2006; 49(9): 966-71.</w:t>
            </w:r>
          </w:p>
        </w:tc>
        <w:tc>
          <w:tcPr>
            <w:tcW w:w="6123" w:type="dxa"/>
            <w:shd w:val="clear" w:color="auto" w:fill="F2F2F2" w:themeFill="background1" w:themeFillShade="F2"/>
            <w:vAlign w:val="center"/>
          </w:tcPr>
          <w:p w14:paraId="327FB65F" w14:textId="6DEC120D"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Birthweight, height, and head circumference were positively correlated with neonatal blood pressure even after adjusting for gestational age, baby sex, and maternal blood pressure.</w:t>
            </w:r>
          </w:p>
        </w:tc>
      </w:tr>
      <w:tr w:rsidR="006842D5" w:rsidRPr="006842D5" w14:paraId="39DF5CB9" w14:textId="77777777" w:rsidTr="00EE4C12">
        <w:tc>
          <w:tcPr>
            <w:tcW w:w="1913" w:type="dxa"/>
            <w:vAlign w:val="center"/>
          </w:tcPr>
          <w:p w14:paraId="2FEAF41F"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vAlign w:val="center"/>
          </w:tcPr>
          <w:p w14:paraId="63A42413" w14:textId="2C6AEAA4"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Birthweight and postnatal catch-up growth</w:t>
            </w:r>
          </w:p>
        </w:tc>
        <w:tc>
          <w:tcPr>
            <w:tcW w:w="1942" w:type="dxa"/>
            <w:vAlign w:val="center"/>
          </w:tcPr>
          <w:p w14:paraId="2B08CC70"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Blood pressure</w:t>
            </w:r>
          </w:p>
        </w:tc>
        <w:tc>
          <w:tcPr>
            <w:tcW w:w="2090" w:type="dxa"/>
            <w:vAlign w:val="center"/>
          </w:tcPr>
          <w:p w14:paraId="0B97AEDF" w14:textId="2778559D"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Hum </w:t>
            </w:r>
            <w:proofErr w:type="spellStart"/>
            <w:r w:rsidRPr="006842D5">
              <w:rPr>
                <w:rFonts w:ascii="Times New Roman" w:eastAsia="맑은 고딕" w:hAnsi="Times New Roman" w:cs="Times New Roman"/>
                <w:sz w:val="21"/>
                <w:szCs w:val="21"/>
              </w:rPr>
              <w:t>Hypertens</w:t>
            </w:r>
            <w:proofErr w:type="spellEnd"/>
            <w:r w:rsidRPr="006842D5">
              <w:rPr>
                <w:rFonts w:ascii="Times New Roman" w:eastAsia="맑은 고딕" w:hAnsi="Times New Roman" w:cs="Times New Roman"/>
                <w:sz w:val="21"/>
                <w:szCs w:val="21"/>
              </w:rPr>
              <w:t xml:space="preserve">. 2007; 21(11): 868-74. </w:t>
            </w:r>
          </w:p>
        </w:tc>
        <w:tc>
          <w:tcPr>
            <w:tcW w:w="6123" w:type="dxa"/>
            <w:vAlign w:val="center"/>
          </w:tcPr>
          <w:p w14:paraId="551C4DBE" w14:textId="6791F054"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For blood pressure in early life, birthweight is not directly related to blood pressure, but conditional weight gain and current weight seem to have an effect on blood pressure.</w:t>
            </w:r>
          </w:p>
        </w:tc>
      </w:tr>
      <w:tr w:rsidR="006842D5" w:rsidRPr="006842D5" w14:paraId="61994D78" w14:textId="77777777" w:rsidTr="00EE4C12">
        <w:tc>
          <w:tcPr>
            <w:tcW w:w="1913" w:type="dxa"/>
            <w:vAlign w:val="center"/>
          </w:tcPr>
          <w:p w14:paraId="48F4F1DC"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shd w:val="clear" w:color="auto" w:fill="F2F2F2" w:themeFill="background1" w:themeFillShade="F2"/>
            <w:vAlign w:val="center"/>
          </w:tcPr>
          <w:p w14:paraId="77EF57CA"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Maternal body weight change</w:t>
            </w:r>
          </w:p>
        </w:tc>
        <w:tc>
          <w:tcPr>
            <w:tcW w:w="1942" w:type="dxa"/>
            <w:shd w:val="clear" w:color="auto" w:fill="F2F2F2" w:themeFill="background1" w:themeFillShade="F2"/>
            <w:vAlign w:val="center"/>
          </w:tcPr>
          <w:p w14:paraId="3407DC8A"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Obesity </w:t>
            </w:r>
          </w:p>
        </w:tc>
        <w:tc>
          <w:tcPr>
            <w:tcW w:w="2090" w:type="dxa"/>
            <w:shd w:val="clear" w:color="auto" w:fill="F2F2F2" w:themeFill="background1" w:themeFillShade="F2"/>
            <w:vAlign w:val="center"/>
          </w:tcPr>
          <w:p w14:paraId="2CA47339" w14:textId="4E79410D"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Korean Soc </w:t>
            </w:r>
            <w:proofErr w:type="spellStart"/>
            <w:r w:rsidRPr="006842D5">
              <w:rPr>
                <w:rFonts w:ascii="Times New Roman" w:eastAsia="맑은 고딕" w:hAnsi="Times New Roman" w:cs="Times New Roman"/>
                <w:sz w:val="21"/>
                <w:szCs w:val="21"/>
              </w:rPr>
              <w:t>Matern</w:t>
            </w:r>
            <w:proofErr w:type="spellEnd"/>
            <w:r w:rsidRPr="006842D5">
              <w:rPr>
                <w:rFonts w:ascii="Times New Roman" w:eastAsia="맑은 고딕" w:hAnsi="Times New Roman" w:cs="Times New Roman"/>
                <w:sz w:val="21"/>
                <w:szCs w:val="21"/>
              </w:rPr>
              <w:t xml:space="preserve"> Child Health. 2011; 15(1): 82-91.</w:t>
            </w:r>
          </w:p>
        </w:tc>
        <w:tc>
          <w:tcPr>
            <w:tcW w:w="6123" w:type="dxa"/>
            <w:shd w:val="clear" w:color="auto" w:fill="F2F2F2" w:themeFill="background1" w:themeFillShade="F2"/>
            <w:vAlign w:val="center"/>
          </w:tcPr>
          <w:p w14:paraId="3BE52A6C" w14:textId="6103C940"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Low pre-pregnancy body mass index and low gestational weight gain are associated with high weight of offspring at 3 years old.</w:t>
            </w:r>
          </w:p>
        </w:tc>
      </w:tr>
      <w:tr w:rsidR="006842D5" w:rsidRPr="006842D5" w14:paraId="4841D20B" w14:textId="77777777" w:rsidTr="00EE4C12">
        <w:tc>
          <w:tcPr>
            <w:tcW w:w="1913" w:type="dxa"/>
            <w:vAlign w:val="center"/>
          </w:tcPr>
          <w:p w14:paraId="513DE56F"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vAlign w:val="center"/>
          </w:tcPr>
          <w:p w14:paraId="4E97C24B"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Angiotensin-converting enzyme (ACE) gene</w:t>
            </w:r>
          </w:p>
        </w:tc>
        <w:tc>
          <w:tcPr>
            <w:tcW w:w="1942" w:type="dxa"/>
            <w:vAlign w:val="center"/>
          </w:tcPr>
          <w:p w14:paraId="2F059176"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Blood pressure</w:t>
            </w:r>
          </w:p>
        </w:tc>
        <w:tc>
          <w:tcPr>
            <w:tcW w:w="2090" w:type="dxa"/>
            <w:vAlign w:val="center"/>
          </w:tcPr>
          <w:p w14:paraId="03AA2A05" w14:textId="1CC16179"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Early Hum Dev. 2012; 88(6): 425-9. </w:t>
            </w:r>
          </w:p>
        </w:tc>
        <w:tc>
          <w:tcPr>
            <w:tcW w:w="6123" w:type="dxa"/>
            <w:vAlign w:val="center"/>
          </w:tcPr>
          <w:p w14:paraId="321AC69A"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The effect of angiotensin-converting enzyme (ACE) genotype on blood pressure was mediated by postnatal growth during the first 3 years.</w:t>
            </w:r>
          </w:p>
        </w:tc>
      </w:tr>
      <w:tr w:rsidR="006842D5" w:rsidRPr="006842D5" w14:paraId="17B83ACC" w14:textId="77777777" w:rsidTr="00EE4C12">
        <w:tc>
          <w:tcPr>
            <w:tcW w:w="1913" w:type="dxa"/>
            <w:vAlign w:val="center"/>
          </w:tcPr>
          <w:p w14:paraId="2023D082"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shd w:val="clear" w:color="auto" w:fill="F2F2F2" w:themeFill="background1" w:themeFillShade="F2"/>
            <w:vAlign w:val="center"/>
          </w:tcPr>
          <w:p w14:paraId="1902BCE8"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25-Hydroxyvitamin D</w:t>
            </w:r>
          </w:p>
        </w:tc>
        <w:tc>
          <w:tcPr>
            <w:tcW w:w="1942" w:type="dxa"/>
            <w:shd w:val="clear" w:color="auto" w:fill="F2F2F2" w:themeFill="background1" w:themeFillShade="F2"/>
            <w:vAlign w:val="center"/>
          </w:tcPr>
          <w:p w14:paraId="1915D42B"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Adiposity indices</w:t>
            </w:r>
          </w:p>
        </w:tc>
        <w:tc>
          <w:tcPr>
            <w:tcW w:w="2090" w:type="dxa"/>
            <w:shd w:val="clear" w:color="auto" w:fill="F2F2F2" w:themeFill="background1" w:themeFillShade="F2"/>
            <w:vAlign w:val="center"/>
          </w:tcPr>
          <w:p w14:paraId="75793ED3" w14:textId="41C518F4"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w:t>
            </w:r>
            <w:proofErr w:type="spellStart"/>
            <w:r w:rsidRPr="006842D5">
              <w:rPr>
                <w:rFonts w:ascii="Times New Roman" w:eastAsia="맑은 고딕" w:hAnsi="Times New Roman" w:cs="Times New Roman"/>
                <w:sz w:val="21"/>
                <w:szCs w:val="21"/>
              </w:rPr>
              <w:t>Pediatr</w:t>
            </w:r>
            <w:proofErr w:type="spellEnd"/>
            <w:r w:rsidRPr="006842D5">
              <w:rPr>
                <w:rFonts w:ascii="Times New Roman" w:eastAsia="맑은 고딕" w:hAnsi="Times New Roman" w:cs="Times New Roman"/>
                <w:sz w:val="21"/>
                <w:szCs w:val="21"/>
              </w:rPr>
              <w:t xml:space="preserve"> Endocrinol </w:t>
            </w:r>
            <w:proofErr w:type="spellStart"/>
            <w:r w:rsidRPr="006842D5">
              <w:rPr>
                <w:rFonts w:ascii="Times New Roman" w:eastAsia="맑은 고딕" w:hAnsi="Times New Roman" w:cs="Times New Roman"/>
                <w:sz w:val="21"/>
                <w:szCs w:val="21"/>
              </w:rPr>
              <w:t>Metab</w:t>
            </w:r>
            <w:proofErr w:type="spellEnd"/>
            <w:r w:rsidRPr="006842D5">
              <w:rPr>
                <w:rFonts w:ascii="Times New Roman" w:eastAsia="맑은 고딕" w:hAnsi="Times New Roman" w:cs="Times New Roman"/>
                <w:sz w:val="21"/>
                <w:szCs w:val="21"/>
              </w:rPr>
              <w:t xml:space="preserve">. 2013; 26(9-10): 849-54. </w:t>
            </w:r>
          </w:p>
        </w:tc>
        <w:tc>
          <w:tcPr>
            <w:tcW w:w="6123" w:type="dxa"/>
            <w:shd w:val="clear" w:color="auto" w:fill="F2F2F2" w:themeFill="background1" w:themeFillShade="F2"/>
            <w:vAlign w:val="center"/>
          </w:tcPr>
          <w:p w14:paraId="476C1040"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The level of 25(OH)D was inversely associated with body mass index, waist circumference, and percent body fat even after adjusting for covariates. </w:t>
            </w:r>
          </w:p>
        </w:tc>
      </w:tr>
      <w:tr w:rsidR="006842D5" w:rsidRPr="006842D5" w14:paraId="73D80684" w14:textId="77777777" w:rsidTr="00EE4C12">
        <w:tc>
          <w:tcPr>
            <w:tcW w:w="1913" w:type="dxa"/>
            <w:vAlign w:val="center"/>
          </w:tcPr>
          <w:p w14:paraId="11B46BE5"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vAlign w:val="center"/>
          </w:tcPr>
          <w:p w14:paraId="519BE41E"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Urinary bisphenol A</w:t>
            </w:r>
          </w:p>
        </w:tc>
        <w:tc>
          <w:tcPr>
            <w:tcW w:w="1942" w:type="dxa"/>
            <w:vAlign w:val="center"/>
          </w:tcPr>
          <w:p w14:paraId="648B2804"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Androgenic hormones and insulin resistance</w:t>
            </w:r>
          </w:p>
        </w:tc>
        <w:tc>
          <w:tcPr>
            <w:tcW w:w="2090" w:type="dxa"/>
            <w:vAlign w:val="center"/>
          </w:tcPr>
          <w:p w14:paraId="498B087B" w14:textId="415B12BF"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Int J Environ Res Public Health. 2013; 10(11): 5737-49. </w:t>
            </w:r>
          </w:p>
        </w:tc>
        <w:tc>
          <w:tcPr>
            <w:tcW w:w="6123" w:type="dxa"/>
            <w:vAlign w:val="center"/>
          </w:tcPr>
          <w:p w14:paraId="75D12727"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Exposure to relatively high levels of BPA increased androgen hormone levels in pre-pubescent girls, and the adverse effects of BPA on endocrine metabolism were consistent over 1 year.</w:t>
            </w:r>
          </w:p>
        </w:tc>
      </w:tr>
      <w:tr w:rsidR="006842D5" w:rsidRPr="006842D5" w14:paraId="73722D48" w14:textId="77777777" w:rsidTr="00EE4C12">
        <w:tc>
          <w:tcPr>
            <w:tcW w:w="1913" w:type="dxa"/>
            <w:vAlign w:val="center"/>
          </w:tcPr>
          <w:p w14:paraId="417EDFD4"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shd w:val="clear" w:color="auto" w:fill="F2F2F2" w:themeFill="background1" w:themeFillShade="F2"/>
            <w:vAlign w:val="center"/>
          </w:tcPr>
          <w:p w14:paraId="3B5D94D1"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Proopiomelanocortin methylation</w:t>
            </w:r>
          </w:p>
        </w:tc>
        <w:tc>
          <w:tcPr>
            <w:tcW w:w="1942" w:type="dxa"/>
            <w:shd w:val="clear" w:color="auto" w:fill="F2F2F2" w:themeFill="background1" w:themeFillShade="F2"/>
            <w:vAlign w:val="center"/>
          </w:tcPr>
          <w:p w14:paraId="1022F6BD"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Metabolic syndrome</w:t>
            </w:r>
          </w:p>
        </w:tc>
        <w:tc>
          <w:tcPr>
            <w:tcW w:w="2090" w:type="dxa"/>
            <w:shd w:val="clear" w:color="auto" w:fill="F2F2F2" w:themeFill="background1" w:themeFillShade="F2"/>
            <w:vAlign w:val="center"/>
          </w:tcPr>
          <w:p w14:paraId="286057D9" w14:textId="5DEAF583"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Diabetes Care. 2014; 37(3): 734-9. </w:t>
            </w:r>
          </w:p>
        </w:tc>
        <w:tc>
          <w:tcPr>
            <w:tcW w:w="6123" w:type="dxa"/>
            <w:shd w:val="clear" w:color="auto" w:fill="F2F2F2" w:themeFill="background1" w:themeFillShade="F2"/>
            <w:vAlign w:val="center"/>
          </w:tcPr>
          <w:p w14:paraId="1316F999" w14:textId="52EB4B24"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People with high </w:t>
            </w:r>
            <w:proofErr w:type="spellStart"/>
            <w:r w:rsidRPr="006842D5">
              <w:rPr>
                <w:rFonts w:ascii="Times New Roman" w:eastAsia="맑은 고딕" w:hAnsi="Times New Roman" w:cs="Times New Roman"/>
                <w:sz w:val="21"/>
                <w:szCs w:val="21"/>
              </w:rPr>
              <w:t>propiomelanocortin</w:t>
            </w:r>
            <w:proofErr w:type="spellEnd"/>
            <w:r w:rsidRPr="006842D5">
              <w:rPr>
                <w:rFonts w:ascii="Times New Roman" w:eastAsia="맑은 고딕" w:hAnsi="Times New Roman" w:cs="Times New Roman"/>
                <w:sz w:val="21"/>
                <w:szCs w:val="21"/>
              </w:rPr>
              <w:t xml:space="preserve"> (POMC) methylation in cord blood had higher triglyceride and insulin levels in childhood compared to others. POMC methylation was also related to </w:t>
            </w:r>
            <w:r w:rsidRPr="006842D5">
              <w:rPr>
                <w:rFonts w:ascii="Times New Roman" w:eastAsia="맑은 고딕" w:hAnsi="Times New Roman" w:cs="Times New Roman"/>
                <w:sz w:val="21"/>
                <w:szCs w:val="21"/>
              </w:rPr>
              <w:lastRenderedPageBreak/>
              <w:t>birthweight.</w:t>
            </w:r>
          </w:p>
        </w:tc>
      </w:tr>
      <w:tr w:rsidR="006842D5" w:rsidRPr="006842D5" w14:paraId="0A61C9D7" w14:textId="77777777" w:rsidTr="00EE4C12">
        <w:tc>
          <w:tcPr>
            <w:tcW w:w="1913" w:type="dxa"/>
            <w:vAlign w:val="center"/>
          </w:tcPr>
          <w:p w14:paraId="7E402707"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vAlign w:val="center"/>
          </w:tcPr>
          <w:p w14:paraId="7E262BC1"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25-Hydroxyvitamin D</w:t>
            </w:r>
          </w:p>
        </w:tc>
        <w:tc>
          <w:tcPr>
            <w:tcW w:w="1942" w:type="dxa"/>
            <w:vAlign w:val="center"/>
          </w:tcPr>
          <w:p w14:paraId="196980D4"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Metabolic syndrome</w:t>
            </w:r>
          </w:p>
        </w:tc>
        <w:tc>
          <w:tcPr>
            <w:tcW w:w="2090" w:type="dxa"/>
            <w:vAlign w:val="center"/>
          </w:tcPr>
          <w:p w14:paraId="7F800646" w14:textId="19D99169"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Nutrition. 2015; 31(11-12): 1324-7.</w:t>
            </w:r>
          </w:p>
        </w:tc>
        <w:tc>
          <w:tcPr>
            <w:tcW w:w="6123" w:type="dxa"/>
            <w:vAlign w:val="center"/>
          </w:tcPr>
          <w:p w14:paraId="6D7DB3A6" w14:textId="59D44B34"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Serum 25(OH)D levels were negatively associated with serum triacylglycerol levels in prepubertal children. Other metabolic components are not related to 25(OH)D level</w:t>
            </w:r>
            <w:r w:rsidRPr="006842D5">
              <w:rPr>
                <w:rFonts w:ascii="Times New Roman" w:eastAsia="맑은 고딕" w:hAnsi="Times New Roman" w:cs="Times New Roman" w:hint="eastAsia"/>
                <w:sz w:val="21"/>
                <w:szCs w:val="21"/>
              </w:rPr>
              <w:t>s</w:t>
            </w:r>
            <w:r w:rsidRPr="006842D5">
              <w:rPr>
                <w:rFonts w:ascii="Times New Roman" w:eastAsia="맑은 고딕" w:hAnsi="Times New Roman" w:cs="Times New Roman"/>
                <w:sz w:val="21"/>
                <w:szCs w:val="21"/>
              </w:rPr>
              <w:t>.</w:t>
            </w:r>
          </w:p>
        </w:tc>
      </w:tr>
      <w:tr w:rsidR="006842D5" w:rsidRPr="006842D5" w14:paraId="6C99B392" w14:textId="77777777" w:rsidTr="00EE4C12">
        <w:tc>
          <w:tcPr>
            <w:tcW w:w="1913" w:type="dxa"/>
            <w:vAlign w:val="center"/>
          </w:tcPr>
          <w:p w14:paraId="6488EB2F"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shd w:val="clear" w:color="auto" w:fill="F2F2F2" w:themeFill="background1" w:themeFillShade="F2"/>
            <w:vAlign w:val="center"/>
          </w:tcPr>
          <w:p w14:paraId="73B35F1C"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Persistent organic pollutants</w:t>
            </w:r>
          </w:p>
        </w:tc>
        <w:tc>
          <w:tcPr>
            <w:tcW w:w="1942" w:type="dxa"/>
            <w:shd w:val="clear" w:color="auto" w:fill="F2F2F2" w:themeFill="background1" w:themeFillShade="F2"/>
            <w:vAlign w:val="center"/>
          </w:tcPr>
          <w:p w14:paraId="4354AABC"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Metabolic health changes</w:t>
            </w:r>
          </w:p>
        </w:tc>
        <w:tc>
          <w:tcPr>
            <w:tcW w:w="2090" w:type="dxa"/>
            <w:shd w:val="clear" w:color="auto" w:fill="F2F2F2" w:themeFill="background1" w:themeFillShade="F2"/>
            <w:vAlign w:val="center"/>
          </w:tcPr>
          <w:p w14:paraId="2226C7FD" w14:textId="4AAC356C"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Int J Environ Res Public Health. 2016; 13(3): 270. </w:t>
            </w:r>
          </w:p>
        </w:tc>
        <w:tc>
          <w:tcPr>
            <w:tcW w:w="6123" w:type="dxa"/>
            <w:shd w:val="clear" w:color="auto" w:fill="F2F2F2" w:themeFill="background1" w:themeFillShade="F2"/>
            <w:vAlign w:val="center"/>
          </w:tcPr>
          <w:p w14:paraId="44D2F8A5"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The concentrations of marker polychlorinated biphenyls (PCBs) were significantly associated with increased change in diastolic blood pressure (BP) and triglyceride levels during a 1-year follow-up.</w:t>
            </w:r>
          </w:p>
        </w:tc>
      </w:tr>
      <w:tr w:rsidR="006842D5" w:rsidRPr="006842D5" w14:paraId="2B8BE15C" w14:textId="77777777" w:rsidTr="00EE4C12">
        <w:tc>
          <w:tcPr>
            <w:tcW w:w="1913" w:type="dxa"/>
            <w:vAlign w:val="center"/>
          </w:tcPr>
          <w:p w14:paraId="5F8ADBE0" w14:textId="77777777" w:rsidR="00EE4C12" w:rsidRPr="006842D5" w:rsidRDefault="00EE4C12" w:rsidP="00EE4C12">
            <w:pPr>
              <w:widowControl/>
              <w:wordWrap/>
              <w:autoSpaceDE/>
              <w:autoSpaceDN/>
              <w:rPr>
                <w:rFonts w:ascii="Times New Roman" w:eastAsia="맑은 고딕" w:hAnsi="Times New Roman" w:cs="Times New Roman"/>
                <w:b/>
                <w:bCs/>
                <w:sz w:val="21"/>
                <w:szCs w:val="21"/>
              </w:rPr>
            </w:pPr>
          </w:p>
        </w:tc>
        <w:tc>
          <w:tcPr>
            <w:tcW w:w="2610" w:type="dxa"/>
            <w:vAlign w:val="center"/>
          </w:tcPr>
          <w:p w14:paraId="6D2219AE"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Thyroid hormones</w:t>
            </w:r>
          </w:p>
        </w:tc>
        <w:tc>
          <w:tcPr>
            <w:tcW w:w="1942" w:type="dxa"/>
            <w:vAlign w:val="center"/>
          </w:tcPr>
          <w:p w14:paraId="50402B56"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Blood pressure</w:t>
            </w:r>
          </w:p>
        </w:tc>
        <w:tc>
          <w:tcPr>
            <w:tcW w:w="2090" w:type="dxa"/>
            <w:vAlign w:val="center"/>
          </w:tcPr>
          <w:p w14:paraId="48CB5749" w14:textId="4B8A46A0"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w:t>
            </w:r>
            <w:proofErr w:type="spellStart"/>
            <w:r w:rsidRPr="006842D5">
              <w:rPr>
                <w:rFonts w:ascii="Times New Roman" w:eastAsia="맑은 고딕" w:hAnsi="Times New Roman" w:cs="Times New Roman"/>
                <w:sz w:val="21"/>
                <w:szCs w:val="21"/>
              </w:rPr>
              <w:t>Pediatr</w:t>
            </w:r>
            <w:proofErr w:type="spellEnd"/>
            <w:r w:rsidRPr="006842D5">
              <w:rPr>
                <w:rFonts w:ascii="Times New Roman" w:eastAsia="맑은 고딕" w:hAnsi="Times New Roman" w:cs="Times New Roman"/>
                <w:sz w:val="21"/>
                <w:szCs w:val="21"/>
              </w:rPr>
              <w:t xml:space="preserve"> Endocrinol </w:t>
            </w:r>
            <w:proofErr w:type="spellStart"/>
            <w:r w:rsidRPr="006842D5">
              <w:rPr>
                <w:rFonts w:ascii="Times New Roman" w:eastAsia="맑은 고딕" w:hAnsi="Times New Roman" w:cs="Times New Roman"/>
                <w:sz w:val="21"/>
                <w:szCs w:val="21"/>
              </w:rPr>
              <w:t>Metab</w:t>
            </w:r>
            <w:proofErr w:type="spellEnd"/>
            <w:r w:rsidRPr="006842D5">
              <w:rPr>
                <w:rFonts w:ascii="Times New Roman" w:eastAsia="맑은 고딕" w:hAnsi="Times New Roman" w:cs="Times New Roman"/>
                <w:sz w:val="21"/>
                <w:szCs w:val="21"/>
              </w:rPr>
              <w:t xml:space="preserve">. 2016; 29(4): 459-64. </w:t>
            </w:r>
          </w:p>
        </w:tc>
        <w:tc>
          <w:tcPr>
            <w:tcW w:w="6123" w:type="dxa"/>
            <w:vAlign w:val="center"/>
          </w:tcPr>
          <w:p w14:paraId="3BE06B94" w14:textId="01C0E396"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Serum thyroid hormones (thyroid-stimulating hormone and free thyroxine) are not independently associated with increased blood pressure in euthyroid preadolescents.</w:t>
            </w:r>
          </w:p>
        </w:tc>
      </w:tr>
    </w:tbl>
    <w:p w14:paraId="30516309" w14:textId="5021946A" w:rsidR="00145D74" w:rsidRPr="006842D5" w:rsidRDefault="00EE4C12" w:rsidP="00EE4C12">
      <w:pPr>
        <w:pStyle w:val="a6"/>
        <w:spacing w:line="360" w:lineRule="auto"/>
        <w:rPr>
          <w:rFonts w:ascii="Times New Roman" w:hAnsi="Times New Roman" w:cs="Times New Roman"/>
          <w:sz w:val="24"/>
          <w:szCs w:val="28"/>
        </w:rPr>
      </w:pPr>
      <w:r w:rsidRPr="006842D5">
        <w:rPr>
          <w:rFonts w:ascii="Times New Roman" w:hAnsi="Times New Roman" w:cs="Times New Roman"/>
          <w:sz w:val="24"/>
          <w:szCs w:val="28"/>
        </w:rPr>
        <w:t xml:space="preserve">Supplemental Table 1. </w:t>
      </w:r>
      <w:r w:rsidR="006130CF" w:rsidRPr="006842D5">
        <w:rPr>
          <w:rFonts w:ascii="Times New Roman" w:hAnsi="Times New Roman" w:cs="Times New Roman"/>
          <w:sz w:val="24"/>
          <w:szCs w:val="24"/>
        </w:rPr>
        <w:t>Research hypothesis</w:t>
      </w:r>
      <w:r w:rsidR="006130CF" w:rsidRPr="006842D5">
        <w:rPr>
          <w:rFonts w:ascii="Times New Roman" w:hAnsi="Times New Roman" w:cs="Times New Roman"/>
          <w:sz w:val="24"/>
          <w:szCs w:val="28"/>
        </w:rPr>
        <w:t xml:space="preserve"> </w:t>
      </w:r>
      <w:r w:rsidRPr="006842D5">
        <w:rPr>
          <w:rFonts w:ascii="Times New Roman" w:hAnsi="Times New Roman" w:cs="Times New Roman"/>
          <w:sz w:val="24"/>
          <w:szCs w:val="28"/>
        </w:rPr>
        <w:t>(c</w:t>
      </w:r>
      <w:r w:rsidRPr="006842D5">
        <w:rPr>
          <w:rFonts w:ascii="Times New Roman" w:hAnsi="Times New Roman" w:cs="Times New Roman" w:hint="eastAsia"/>
          <w:sz w:val="24"/>
          <w:szCs w:val="28"/>
        </w:rPr>
        <w:t>ontinued)</w:t>
      </w:r>
      <w:r w:rsidRPr="006842D5">
        <w:rPr>
          <w:rFonts w:ascii="Times New Roman" w:hAnsi="Times New Roman" w:cs="Times New Roman"/>
          <w:sz w:val="24"/>
          <w:szCs w:val="28"/>
        </w:rPr>
        <w:t>.</w:t>
      </w: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2610"/>
        <w:gridCol w:w="1942"/>
        <w:gridCol w:w="2090"/>
        <w:gridCol w:w="6123"/>
      </w:tblGrid>
      <w:tr w:rsidR="006842D5" w:rsidRPr="006842D5" w14:paraId="21110E65" w14:textId="77777777" w:rsidTr="00EE4C12">
        <w:tc>
          <w:tcPr>
            <w:tcW w:w="1913" w:type="dxa"/>
            <w:tcBorders>
              <w:top w:val="single" w:sz="4" w:space="0" w:color="auto"/>
              <w:bottom w:val="single" w:sz="4" w:space="0" w:color="auto"/>
            </w:tcBorders>
            <w:vAlign w:val="center"/>
          </w:tcPr>
          <w:p w14:paraId="3D51173A" w14:textId="2F3DD25D"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Category</w:t>
            </w:r>
          </w:p>
        </w:tc>
        <w:tc>
          <w:tcPr>
            <w:tcW w:w="2610" w:type="dxa"/>
            <w:tcBorders>
              <w:top w:val="single" w:sz="4" w:space="0" w:color="auto"/>
              <w:bottom w:val="single" w:sz="4" w:space="0" w:color="auto"/>
            </w:tcBorders>
            <w:vAlign w:val="center"/>
          </w:tcPr>
          <w:p w14:paraId="6AF4E66E" w14:textId="71BC0EC0"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Independent factors</w:t>
            </w:r>
          </w:p>
        </w:tc>
        <w:tc>
          <w:tcPr>
            <w:tcW w:w="1942" w:type="dxa"/>
            <w:tcBorders>
              <w:top w:val="single" w:sz="4" w:space="0" w:color="auto"/>
              <w:bottom w:val="single" w:sz="4" w:space="0" w:color="auto"/>
            </w:tcBorders>
            <w:vAlign w:val="center"/>
          </w:tcPr>
          <w:p w14:paraId="50390C69" w14:textId="568EDB34"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Outcomes</w:t>
            </w:r>
          </w:p>
        </w:tc>
        <w:tc>
          <w:tcPr>
            <w:tcW w:w="2090" w:type="dxa"/>
            <w:tcBorders>
              <w:top w:val="single" w:sz="4" w:space="0" w:color="auto"/>
              <w:bottom w:val="single" w:sz="4" w:space="0" w:color="auto"/>
            </w:tcBorders>
            <w:vAlign w:val="center"/>
          </w:tcPr>
          <w:p w14:paraId="379DFB20" w14:textId="417C32AE"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Ref</w:t>
            </w:r>
          </w:p>
        </w:tc>
        <w:tc>
          <w:tcPr>
            <w:tcW w:w="6123" w:type="dxa"/>
            <w:tcBorders>
              <w:top w:val="single" w:sz="4" w:space="0" w:color="auto"/>
              <w:bottom w:val="single" w:sz="4" w:space="0" w:color="auto"/>
            </w:tcBorders>
            <w:vAlign w:val="center"/>
          </w:tcPr>
          <w:p w14:paraId="42B7D271" w14:textId="54B1206A"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Summary</w:t>
            </w:r>
          </w:p>
        </w:tc>
      </w:tr>
      <w:tr w:rsidR="006842D5" w:rsidRPr="006842D5" w14:paraId="6D6E173E" w14:textId="77777777" w:rsidTr="00EE4C12">
        <w:tc>
          <w:tcPr>
            <w:tcW w:w="1913" w:type="dxa"/>
            <w:tcBorders>
              <w:top w:val="single" w:sz="4" w:space="0" w:color="auto"/>
            </w:tcBorders>
            <w:vAlign w:val="center"/>
          </w:tcPr>
          <w:p w14:paraId="26620E43"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r w:rsidRPr="006842D5">
              <w:rPr>
                <w:rFonts w:ascii="Times New Roman" w:eastAsia="맑은 고딕" w:hAnsi="Times New Roman" w:cs="Times New Roman"/>
                <w:bCs/>
                <w:sz w:val="21"/>
                <w:szCs w:val="21"/>
              </w:rPr>
              <w:t>Cardiometabolic risk</w:t>
            </w:r>
          </w:p>
        </w:tc>
        <w:tc>
          <w:tcPr>
            <w:tcW w:w="2610" w:type="dxa"/>
            <w:tcBorders>
              <w:top w:val="single" w:sz="4" w:space="0" w:color="auto"/>
            </w:tcBorders>
            <w:vAlign w:val="center"/>
          </w:tcPr>
          <w:p w14:paraId="1AC9E474"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Persistent organic pollutants</w:t>
            </w:r>
          </w:p>
        </w:tc>
        <w:tc>
          <w:tcPr>
            <w:tcW w:w="1942" w:type="dxa"/>
            <w:tcBorders>
              <w:top w:val="single" w:sz="4" w:space="0" w:color="auto"/>
            </w:tcBorders>
            <w:vAlign w:val="center"/>
          </w:tcPr>
          <w:p w14:paraId="4E4DEDE3"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Insulin secretion</w:t>
            </w:r>
          </w:p>
        </w:tc>
        <w:tc>
          <w:tcPr>
            <w:tcW w:w="2090" w:type="dxa"/>
            <w:tcBorders>
              <w:top w:val="single" w:sz="4" w:space="0" w:color="auto"/>
            </w:tcBorders>
            <w:vAlign w:val="center"/>
          </w:tcPr>
          <w:p w14:paraId="1EABFCB3" w14:textId="20C908AC"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Environ Health </w:t>
            </w:r>
            <w:proofErr w:type="spellStart"/>
            <w:r w:rsidRPr="006842D5">
              <w:rPr>
                <w:rFonts w:ascii="Times New Roman" w:eastAsia="맑은 고딕" w:hAnsi="Times New Roman" w:cs="Times New Roman"/>
                <w:sz w:val="21"/>
                <w:szCs w:val="21"/>
              </w:rPr>
              <w:t>Perspect</w:t>
            </w:r>
            <w:proofErr w:type="spellEnd"/>
            <w:r w:rsidRPr="006842D5">
              <w:rPr>
                <w:rFonts w:ascii="Times New Roman" w:eastAsia="맑은 고딕" w:hAnsi="Times New Roman" w:cs="Times New Roman"/>
                <w:sz w:val="21"/>
                <w:szCs w:val="21"/>
              </w:rPr>
              <w:t xml:space="preserve">. 2016; 124(12): 1924-30. </w:t>
            </w:r>
          </w:p>
        </w:tc>
        <w:tc>
          <w:tcPr>
            <w:tcW w:w="6123" w:type="dxa"/>
            <w:tcBorders>
              <w:top w:val="single" w:sz="4" w:space="0" w:color="auto"/>
            </w:tcBorders>
            <w:vAlign w:val="center"/>
          </w:tcPr>
          <w:p w14:paraId="470A33B2"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Subjects in the highest </w:t>
            </w:r>
            <w:proofErr w:type="spellStart"/>
            <w:r w:rsidRPr="006842D5">
              <w:rPr>
                <w:rFonts w:ascii="Times New Roman" w:eastAsia="맑은 고딕" w:hAnsi="Times New Roman" w:cs="Times New Roman"/>
                <w:sz w:val="21"/>
                <w:szCs w:val="21"/>
              </w:rPr>
              <w:t>tertile</w:t>
            </w:r>
            <w:proofErr w:type="spellEnd"/>
            <w:r w:rsidRPr="006842D5">
              <w:rPr>
                <w:rFonts w:ascii="Times New Roman" w:eastAsia="맑은 고딕" w:hAnsi="Times New Roman" w:cs="Times New Roman"/>
                <w:sz w:val="21"/>
                <w:szCs w:val="21"/>
              </w:rPr>
              <w:t xml:space="preserve"> showed a decreased homeostatic model assessment of beta-cell function (HOMA-β) compared to subjects in the lowest </w:t>
            </w:r>
            <w:proofErr w:type="spellStart"/>
            <w:r w:rsidRPr="006842D5">
              <w:rPr>
                <w:rFonts w:ascii="Times New Roman" w:eastAsia="맑은 고딕" w:hAnsi="Times New Roman" w:cs="Times New Roman"/>
                <w:sz w:val="21"/>
                <w:szCs w:val="21"/>
              </w:rPr>
              <w:t>tertile</w:t>
            </w:r>
            <w:proofErr w:type="spellEnd"/>
            <w:r w:rsidRPr="006842D5">
              <w:rPr>
                <w:rFonts w:ascii="Times New Roman" w:eastAsia="맑은 고딕" w:hAnsi="Times New Roman" w:cs="Times New Roman"/>
                <w:sz w:val="21"/>
                <w:szCs w:val="21"/>
              </w:rPr>
              <w:t>. The trend was maintained over the two-year follow-up period.</w:t>
            </w:r>
          </w:p>
        </w:tc>
      </w:tr>
      <w:tr w:rsidR="006842D5" w:rsidRPr="006842D5" w14:paraId="1719BDED" w14:textId="77777777" w:rsidTr="00EE4C12">
        <w:tc>
          <w:tcPr>
            <w:tcW w:w="1913" w:type="dxa"/>
            <w:vAlign w:val="center"/>
          </w:tcPr>
          <w:p w14:paraId="337E8EB9"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p>
        </w:tc>
        <w:tc>
          <w:tcPr>
            <w:tcW w:w="2610" w:type="dxa"/>
            <w:shd w:val="clear" w:color="auto" w:fill="F2F2F2" w:themeFill="background1" w:themeFillShade="F2"/>
            <w:vAlign w:val="center"/>
          </w:tcPr>
          <w:p w14:paraId="193629F3"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Levels of uric acid</w:t>
            </w:r>
          </w:p>
        </w:tc>
        <w:tc>
          <w:tcPr>
            <w:tcW w:w="1942" w:type="dxa"/>
            <w:shd w:val="clear" w:color="auto" w:fill="F2F2F2" w:themeFill="background1" w:themeFillShade="F2"/>
            <w:vAlign w:val="center"/>
          </w:tcPr>
          <w:p w14:paraId="4DF4017B"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Blood pressure tracking</w:t>
            </w:r>
          </w:p>
        </w:tc>
        <w:tc>
          <w:tcPr>
            <w:tcW w:w="2090" w:type="dxa"/>
            <w:shd w:val="clear" w:color="auto" w:fill="F2F2F2" w:themeFill="background1" w:themeFillShade="F2"/>
            <w:vAlign w:val="center"/>
          </w:tcPr>
          <w:p w14:paraId="24E999FC" w14:textId="5B5E65EE"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Am J </w:t>
            </w:r>
            <w:proofErr w:type="spellStart"/>
            <w:r w:rsidRPr="006842D5">
              <w:rPr>
                <w:rFonts w:ascii="Times New Roman" w:eastAsia="맑은 고딕" w:hAnsi="Times New Roman" w:cs="Times New Roman"/>
                <w:sz w:val="21"/>
                <w:szCs w:val="21"/>
              </w:rPr>
              <w:t>Hypertens</w:t>
            </w:r>
            <w:proofErr w:type="spellEnd"/>
            <w:r w:rsidRPr="006842D5">
              <w:rPr>
                <w:rFonts w:ascii="Times New Roman" w:eastAsia="맑은 고딕" w:hAnsi="Times New Roman" w:cs="Times New Roman"/>
                <w:sz w:val="21"/>
                <w:szCs w:val="21"/>
              </w:rPr>
              <w:t xml:space="preserve">. 2017; 30(7): 713-8. </w:t>
            </w:r>
          </w:p>
        </w:tc>
        <w:tc>
          <w:tcPr>
            <w:tcW w:w="6123" w:type="dxa"/>
            <w:shd w:val="clear" w:color="auto" w:fill="F2F2F2" w:themeFill="background1" w:themeFillShade="F2"/>
            <w:vAlign w:val="center"/>
          </w:tcPr>
          <w:p w14:paraId="30C52B45" w14:textId="18B25AA4"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Uric acid levels at 3 years of age continued to affect subsequent BP.  Subjects with high uric acid levels at both 3 and 5 years of age had the highest SBP at 7 years of age.</w:t>
            </w:r>
          </w:p>
        </w:tc>
      </w:tr>
      <w:tr w:rsidR="006842D5" w:rsidRPr="006842D5" w14:paraId="6658B0D5" w14:textId="77777777" w:rsidTr="00EE4C12">
        <w:trPr>
          <w:trHeight w:val="1086"/>
        </w:trPr>
        <w:tc>
          <w:tcPr>
            <w:tcW w:w="1913" w:type="dxa"/>
            <w:vAlign w:val="center"/>
          </w:tcPr>
          <w:p w14:paraId="5197E7FE"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p>
        </w:tc>
        <w:tc>
          <w:tcPr>
            <w:tcW w:w="2610" w:type="dxa"/>
            <w:vAlign w:val="center"/>
          </w:tcPr>
          <w:p w14:paraId="4BABCC45" w14:textId="77777777" w:rsidR="00EE4C12" w:rsidRPr="006842D5" w:rsidRDefault="00EE4C12" w:rsidP="00EE4C12">
            <w:pPr>
              <w:widowControl/>
              <w:wordWrap/>
              <w:autoSpaceDE/>
              <w:autoSpaceDN/>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DNA methylations of POMC, MC4R, and HNF4A </w:t>
            </w:r>
          </w:p>
        </w:tc>
        <w:tc>
          <w:tcPr>
            <w:tcW w:w="1942" w:type="dxa"/>
            <w:vAlign w:val="center"/>
          </w:tcPr>
          <w:p w14:paraId="18C85A78" w14:textId="5B5EBC33"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Metabolic profiles in blood (7–9 years)</w:t>
            </w:r>
          </w:p>
        </w:tc>
        <w:tc>
          <w:tcPr>
            <w:tcW w:w="2090" w:type="dxa"/>
            <w:vAlign w:val="center"/>
          </w:tcPr>
          <w:p w14:paraId="59437A8B" w14:textId="4F79452F"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BMC </w:t>
            </w:r>
            <w:proofErr w:type="spellStart"/>
            <w:r w:rsidRPr="006842D5">
              <w:rPr>
                <w:rFonts w:ascii="Times New Roman" w:eastAsia="맑은 고딕" w:hAnsi="Times New Roman" w:cs="Times New Roman"/>
                <w:sz w:val="21"/>
                <w:szCs w:val="21"/>
              </w:rPr>
              <w:t>Pediatr</w:t>
            </w:r>
            <w:proofErr w:type="spellEnd"/>
            <w:r w:rsidRPr="006842D5">
              <w:rPr>
                <w:rFonts w:ascii="Times New Roman" w:eastAsia="맑은 고딕" w:hAnsi="Times New Roman" w:cs="Times New Roman"/>
                <w:sz w:val="21"/>
                <w:szCs w:val="21"/>
              </w:rPr>
              <w:t xml:space="preserve">. 2018; 18(1): 121. </w:t>
            </w:r>
          </w:p>
        </w:tc>
        <w:tc>
          <w:tcPr>
            <w:tcW w:w="6123" w:type="dxa"/>
            <w:vAlign w:val="center"/>
          </w:tcPr>
          <w:p w14:paraId="0CC1153E"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The cross-sectional association between methylation and lipid profile was evaluated. A significant association was found between </w:t>
            </w:r>
            <w:proofErr w:type="spellStart"/>
            <w:r w:rsidRPr="006842D5">
              <w:rPr>
                <w:rFonts w:ascii="Times New Roman" w:eastAsia="맑은 고딕" w:hAnsi="Times New Roman" w:cs="Times New Roman"/>
                <w:sz w:val="21"/>
                <w:szCs w:val="21"/>
              </w:rPr>
              <w:t>propiomelanocortin</w:t>
            </w:r>
            <w:proofErr w:type="spellEnd"/>
            <w:r w:rsidRPr="006842D5">
              <w:rPr>
                <w:rFonts w:ascii="Times New Roman" w:eastAsia="맑은 고딕" w:hAnsi="Times New Roman" w:cs="Times New Roman"/>
                <w:sz w:val="21"/>
                <w:szCs w:val="21"/>
              </w:rPr>
              <w:t xml:space="preserve"> (POMC) methylation and HDL-c levels, and HNF4A methylation and TC levels.</w:t>
            </w:r>
          </w:p>
        </w:tc>
      </w:tr>
      <w:tr w:rsidR="006842D5" w:rsidRPr="006842D5" w14:paraId="37418436" w14:textId="77777777" w:rsidTr="00EE4C12">
        <w:tc>
          <w:tcPr>
            <w:tcW w:w="1913" w:type="dxa"/>
            <w:vAlign w:val="center"/>
          </w:tcPr>
          <w:p w14:paraId="7384B5E4"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p>
        </w:tc>
        <w:tc>
          <w:tcPr>
            <w:tcW w:w="2610" w:type="dxa"/>
            <w:shd w:val="clear" w:color="auto" w:fill="F2F2F2" w:themeFill="background1" w:themeFillShade="F2"/>
            <w:vAlign w:val="center"/>
          </w:tcPr>
          <w:p w14:paraId="4542D5DA"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Macronutrient intake</w:t>
            </w:r>
          </w:p>
        </w:tc>
        <w:tc>
          <w:tcPr>
            <w:tcW w:w="1942" w:type="dxa"/>
            <w:shd w:val="clear" w:color="auto" w:fill="F2F2F2" w:themeFill="background1" w:themeFillShade="F2"/>
            <w:vAlign w:val="center"/>
          </w:tcPr>
          <w:p w14:paraId="3012E6EF"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Lipid concentrations</w:t>
            </w:r>
          </w:p>
        </w:tc>
        <w:tc>
          <w:tcPr>
            <w:tcW w:w="2090" w:type="dxa"/>
            <w:shd w:val="clear" w:color="auto" w:fill="F2F2F2" w:themeFill="background1" w:themeFillShade="F2"/>
            <w:vAlign w:val="center"/>
          </w:tcPr>
          <w:p w14:paraId="60323763" w14:textId="7A600139"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Clin </w:t>
            </w:r>
            <w:proofErr w:type="spellStart"/>
            <w:r w:rsidRPr="006842D5">
              <w:rPr>
                <w:rFonts w:ascii="Times New Roman" w:eastAsia="맑은 고딕" w:hAnsi="Times New Roman" w:cs="Times New Roman"/>
                <w:sz w:val="21"/>
                <w:szCs w:val="21"/>
              </w:rPr>
              <w:t>Nutr</w:t>
            </w:r>
            <w:proofErr w:type="spellEnd"/>
            <w:r w:rsidRPr="006842D5">
              <w:rPr>
                <w:rFonts w:ascii="Times New Roman" w:eastAsia="맑은 고딕" w:hAnsi="Times New Roman" w:cs="Times New Roman"/>
                <w:sz w:val="21"/>
                <w:szCs w:val="21"/>
              </w:rPr>
              <w:t xml:space="preserve">. 2018; 37(3): 1027-33. </w:t>
            </w:r>
          </w:p>
        </w:tc>
        <w:tc>
          <w:tcPr>
            <w:tcW w:w="6123" w:type="dxa"/>
            <w:shd w:val="clear" w:color="auto" w:fill="F2F2F2" w:themeFill="background1" w:themeFillShade="F2"/>
            <w:vAlign w:val="center"/>
          </w:tcPr>
          <w:p w14:paraId="0183C5A2"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During the 4-year follow-up, a 1% increase in carbohydrate intake increased TG by 0.59 mg/dL compared to baseline (at 3 years old).</w:t>
            </w:r>
          </w:p>
        </w:tc>
      </w:tr>
      <w:tr w:rsidR="006842D5" w:rsidRPr="006842D5" w14:paraId="6E7F4C3B" w14:textId="77777777" w:rsidTr="00EE4C12">
        <w:trPr>
          <w:trHeight w:val="808"/>
        </w:trPr>
        <w:tc>
          <w:tcPr>
            <w:tcW w:w="1913" w:type="dxa"/>
            <w:vAlign w:val="center"/>
          </w:tcPr>
          <w:p w14:paraId="6779D379"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p>
        </w:tc>
        <w:tc>
          <w:tcPr>
            <w:tcW w:w="2610" w:type="dxa"/>
            <w:vAlign w:val="center"/>
          </w:tcPr>
          <w:p w14:paraId="47B2B5AE"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Urinary phthalate</w:t>
            </w:r>
          </w:p>
        </w:tc>
        <w:tc>
          <w:tcPr>
            <w:tcW w:w="1942" w:type="dxa"/>
            <w:vAlign w:val="center"/>
          </w:tcPr>
          <w:p w14:paraId="2DF09D31"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Lipid and insulin levels </w:t>
            </w:r>
          </w:p>
        </w:tc>
        <w:tc>
          <w:tcPr>
            <w:tcW w:w="2090" w:type="dxa"/>
            <w:vAlign w:val="center"/>
          </w:tcPr>
          <w:p w14:paraId="02CB377F" w14:textId="501BF02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Sci Total Environ. 2019; 662: 714-21. </w:t>
            </w:r>
          </w:p>
        </w:tc>
        <w:tc>
          <w:tcPr>
            <w:tcW w:w="6123" w:type="dxa"/>
            <w:vAlign w:val="center"/>
          </w:tcPr>
          <w:p w14:paraId="491CBCAE" w14:textId="35DE0DA1"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Levels of phthalate metabolites were higher at preschool age than at school age. Some phthalate metabolites were associated with increased TG and HOMA-IR levels at 3–5 years of age and 7–9 years of age.</w:t>
            </w:r>
          </w:p>
        </w:tc>
      </w:tr>
      <w:tr w:rsidR="006842D5" w:rsidRPr="006842D5" w14:paraId="425E65B4" w14:textId="77777777" w:rsidTr="00EE4C12">
        <w:tc>
          <w:tcPr>
            <w:tcW w:w="1913" w:type="dxa"/>
            <w:vAlign w:val="center"/>
          </w:tcPr>
          <w:p w14:paraId="249C6F4B"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p>
        </w:tc>
        <w:tc>
          <w:tcPr>
            <w:tcW w:w="2610" w:type="dxa"/>
            <w:shd w:val="clear" w:color="auto" w:fill="F2F2F2" w:themeFill="background1" w:themeFillShade="F2"/>
            <w:vAlign w:val="center"/>
          </w:tcPr>
          <w:p w14:paraId="20664D77" w14:textId="77777777" w:rsidR="00EE4C12" w:rsidRPr="006842D5" w:rsidRDefault="00EE4C12" w:rsidP="00EE4C12">
            <w:pPr>
              <w:widowControl/>
              <w:wordWrap/>
              <w:autoSpaceDE/>
              <w:autoSpaceDN/>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MC4R and HNF4α methylation</w:t>
            </w:r>
          </w:p>
        </w:tc>
        <w:tc>
          <w:tcPr>
            <w:tcW w:w="1942" w:type="dxa"/>
            <w:shd w:val="clear" w:color="auto" w:fill="F2F2F2" w:themeFill="background1" w:themeFillShade="F2"/>
            <w:vAlign w:val="center"/>
          </w:tcPr>
          <w:p w14:paraId="0FB69112"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Lipid concentrations</w:t>
            </w:r>
          </w:p>
        </w:tc>
        <w:tc>
          <w:tcPr>
            <w:tcW w:w="2090" w:type="dxa"/>
            <w:shd w:val="clear" w:color="auto" w:fill="F2F2F2" w:themeFill="background1" w:themeFillShade="F2"/>
            <w:vAlign w:val="center"/>
          </w:tcPr>
          <w:p w14:paraId="69E813E9" w14:textId="5AD8D92A"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Medicine (Baltimore). 2019; 98(28): e16424. </w:t>
            </w:r>
          </w:p>
        </w:tc>
        <w:tc>
          <w:tcPr>
            <w:tcW w:w="6123" w:type="dxa"/>
            <w:shd w:val="clear" w:color="auto" w:fill="F2F2F2" w:themeFill="background1" w:themeFillShade="F2"/>
            <w:vAlign w:val="center"/>
          </w:tcPr>
          <w:p w14:paraId="0750D094" w14:textId="22BDB7AD"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The methylation statuses of MC4R and HNF4a at birth were associated with triglyceride levels in childhood.</w:t>
            </w:r>
          </w:p>
        </w:tc>
      </w:tr>
      <w:tr w:rsidR="006842D5" w:rsidRPr="006842D5" w14:paraId="15C8DF84" w14:textId="77777777" w:rsidTr="00EE4C12">
        <w:trPr>
          <w:trHeight w:val="985"/>
        </w:trPr>
        <w:tc>
          <w:tcPr>
            <w:tcW w:w="1913" w:type="dxa"/>
            <w:vAlign w:val="center"/>
          </w:tcPr>
          <w:p w14:paraId="3A707D1D"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p>
        </w:tc>
        <w:tc>
          <w:tcPr>
            <w:tcW w:w="2610" w:type="dxa"/>
            <w:vAlign w:val="center"/>
          </w:tcPr>
          <w:p w14:paraId="087C8965"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Pre-and postnatal growth </w:t>
            </w:r>
          </w:p>
        </w:tc>
        <w:tc>
          <w:tcPr>
            <w:tcW w:w="1942" w:type="dxa"/>
            <w:vAlign w:val="center"/>
          </w:tcPr>
          <w:p w14:paraId="2CAFA296"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Longitudinal trends in serum uric acid levels and BP</w:t>
            </w:r>
          </w:p>
        </w:tc>
        <w:tc>
          <w:tcPr>
            <w:tcW w:w="2090" w:type="dxa"/>
            <w:vAlign w:val="center"/>
          </w:tcPr>
          <w:p w14:paraId="68FD257D" w14:textId="4C1007A9"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BMC </w:t>
            </w:r>
            <w:proofErr w:type="spellStart"/>
            <w:r w:rsidRPr="006842D5">
              <w:rPr>
                <w:rFonts w:ascii="Times New Roman" w:eastAsia="맑은 고딕" w:hAnsi="Times New Roman" w:cs="Times New Roman"/>
                <w:sz w:val="21"/>
                <w:szCs w:val="21"/>
              </w:rPr>
              <w:t>Pediatr</w:t>
            </w:r>
            <w:proofErr w:type="spellEnd"/>
            <w:r w:rsidRPr="006842D5">
              <w:rPr>
                <w:rFonts w:ascii="Times New Roman" w:eastAsia="맑은 고딕" w:hAnsi="Times New Roman" w:cs="Times New Roman"/>
                <w:sz w:val="21"/>
                <w:szCs w:val="21"/>
              </w:rPr>
              <w:t xml:space="preserve">. 2020; 20(1): 23. </w:t>
            </w:r>
          </w:p>
        </w:tc>
        <w:tc>
          <w:tcPr>
            <w:tcW w:w="6123" w:type="dxa"/>
            <w:vAlign w:val="center"/>
          </w:tcPr>
          <w:p w14:paraId="529413CF" w14:textId="3DD33D55"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Based on follow-up from the age of 3–7 years, children who experienced low birthweight (LBW) and catch-up growth (CUG) had higher uric acid levels and greater changes in SBP over 4 years compared to normal-birthweight children.</w:t>
            </w:r>
          </w:p>
        </w:tc>
      </w:tr>
      <w:tr w:rsidR="006842D5" w:rsidRPr="006842D5" w14:paraId="4017B3BD" w14:textId="77777777" w:rsidTr="00EE4C12">
        <w:trPr>
          <w:trHeight w:val="858"/>
        </w:trPr>
        <w:tc>
          <w:tcPr>
            <w:tcW w:w="1913" w:type="dxa"/>
            <w:vAlign w:val="center"/>
          </w:tcPr>
          <w:p w14:paraId="56339355" w14:textId="4C20BBF5" w:rsidR="00EE4C12" w:rsidRPr="006842D5" w:rsidRDefault="00EE4C12" w:rsidP="00EE4C12">
            <w:pPr>
              <w:widowControl/>
              <w:wordWrap/>
              <w:autoSpaceDE/>
              <w:autoSpaceDN/>
              <w:rPr>
                <w:rFonts w:ascii="Times New Roman" w:eastAsia="맑은 고딕" w:hAnsi="Times New Roman" w:cs="Times New Roman"/>
                <w:bCs/>
                <w:sz w:val="21"/>
                <w:szCs w:val="21"/>
              </w:rPr>
            </w:pPr>
            <w:r w:rsidRPr="006842D5">
              <w:rPr>
                <w:rFonts w:ascii="Times New Roman" w:eastAsia="맑은 고딕" w:hAnsi="Times New Roman" w:cs="Times New Roman"/>
                <w:bCs/>
                <w:sz w:val="21"/>
                <w:szCs w:val="21"/>
              </w:rPr>
              <w:t>Cardiovascular-disease-related markers</w:t>
            </w:r>
          </w:p>
        </w:tc>
        <w:tc>
          <w:tcPr>
            <w:tcW w:w="2610" w:type="dxa"/>
            <w:shd w:val="clear" w:color="auto" w:fill="F2F2F2" w:themeFill="background1" w:themeFillShade="F2"/>
            <w:vAlign w:val="center"/>
          </w:tcPr>
          <w:p w14:paraId="13A80F8E"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Pre-and postnatal growth</w:t>
            </w:r>
          </w:p>
        </w:tc>
        <w:tc>
          <w:tcPr>
            <w:tcW w:w="1942" w:type="dxa"/>
            <w:shd w:val="clear" w:color="auto" w:fill="F2F2F2" w:themeFill="background1" w:themeFillShade="F2"/>
            <w:vAlign w:val="center"/>
          </w:tcPr>
          <w:p w14:paraId="31696EBD"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Uric acid level</w:t>
            </w:r>
          </w:p>
        </w:tc>
        <w:tc>
          <w:tcPr>
            <w:tcW w:w="2090" w:type="dxa"/>
            <w:shd w:val="clear" w:color="auto" w:fill="F2F2F2" w:themeFill="background1" w:themeFillShade="F2"/>
            <w:vAlign w:val="center"/>
          </w:tcPr>
          <w:p w14:paraId="34CA0C52" w14:textId="1E02AB59"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Am J </w:t>
            </w:r>
            <w:proofErr w:type="spellStart"/>
            <w:r w:rsidRPr="006842D5">
              <w:rPr>
                <w:rFonts w:ascii="Times New Roman" w:eastAsia="맑은 고딕" w:hAnsi="Times New Roman" w:cs="Times New Roman"/>
                <w:sz w:val="21"/>
                <w:szCs w:val="21"/>
              </w:rPr>
              <w:t>Hypertens</w:t>
            </w:r>
            <w:proofErr w:type="spellEnd"/>
            <w:r w:rsidRPr="006842D5">
              <w:rPr>
                <w:rFonts w:ascii="Times New Roman" w:eastAsia="맑은 고딕" w:hAnsi="Times New Roman" w:cs="Times New Roman"/>
                <w:sz w:val="21"/>
                <w:szCs w:val="21"/>
              </w:rPr>
              <w:t xml:space="preserve">. 2009; 22(4): 403-8. </w:t>
            </w:r>
          </w:p>
        </w:tc>
        <w:tc>
          <w:tcPr>
            <w:tcW w:w="6123" w:type="dxa"/>
            <w:shd w:val="clear" w:color="auto" w:fill="F2F2F2" w:themeFill="background1" w:themeFillShade="F2"/>
            <w:vAlign w:val="center"/>
          </w:tcPr>
          <w:p w14:paraId="46478074" w14:textId="17FC99C8"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Preterm birth and a subsequent high postnatal weight gain (during the first 3 years) were associated with increased serum uric acid levels at 3 years of age.</w:t>
            </w:r>
          </w:p>
        </w:tc>
      </w:tr>
      <w:tr w:rsidR="006842D5" w:rsidRPr="006842D5" w14:paraId="5DE9968C" w14:textId="77777777" w:rsidTr="00EE4C12">
        <w:trPr>
          <w:trHeight w:val="983"/>
        </w:trPr>
        <w:tc>
          <w:tcPr>
            <w:tcW w:w="1913" w:type="dxa"/>
            <w:vAlign w:val="center"/>
          </w:tcPr>
          <w:p w14:paraId="68572C14" w14:textId="77777777" w:rsidR="00EE4C12" w:rsidRPr="006842D5" w:rsidRDefault="00EE4C12" w:rsidP="00EE4C12">
            <w:pPr>
              <w:rPr>
                <w:rFonts w:ascii="Times New Roman" w:eastAsia="맑은 고딕" w:hAnsi="Times New Roman" w:cs="Times New Roman"/>
                <w:sz w:val="21"/>
                <w:szCs w:val="21"/>
              </w:rPr>
            </w:pPr>
          </w:p>
        </w:tc>
        <w:tc>
          <w:tcPr>
            <w:tcW w:w="2610" w:type="dxa"/>
            <w:vAlign w:val="center"/>
          </w:tcPr>
          <w:p w14:paraId="7342F3F9"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Folate and adiposity</w:t>
            </w:r>
          </w:p>
        </w:tc>
        <w:tc>
          <w:tcPr>
            <w:tcW w:w="1942" w:type="dxa"/>
            <w:vAlign w:val="center"/>
          </w:tcPr>
          <w:p w14:paraId="6A968932"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Homocysteine</w:t>
            </w:r>
          </w:p>
        </w:tc>
        <w:tc>
          <w:tcPr>
            <w:tcW w:w="2090" w:type="dxa"/>
            <w:vAlign w:val="center"/>
          </w:tcPr>
          <w:p w14:paraId="2C1A392D" w14:textId="67743DB6" w:rsidR="00EE4C12" w:rsidRPr="006842D5" w:rsidRDefault="00EE4C12" w:rsidP="00EE4C12">
            <w:pPr>
              <w:rPr>
                <w:rFonts w:ascii="Times New Roman" w:eastAsia="맑은 고딕" w:hAnsi="Times New Roman" w:cs="Times New Roman"/>
                <w:sz w:val="21"/>
                <w:szCs w:val="21"/>
              </w:rPr>
            </w:pPr>
            <w:proofErr w:type="spellStart"/>
            <w:r w:rsidRPr="006842D5">
              <w:rPr>
                <w:rFonts w:ascii="Times New Roman" w:eastAsia="맑은 고딕" w:hAnsi="Times New Roman" w:cs="Times New Roman"/>
                <w:sz w:val="21"/>
                <w:szCs w:val="21"/>
              </w:rPr>
              <w:t>Nutr</w:t>
            </w:r>
            <w:proofErr w:type="spellEnd"/>
            <w:r w:rsidRPr="006842D5">
              <w:rPr>
                <w:rFonts w:ascii="Times New Roman" w:eastAsia="맑은 고딕" w:hAnsi="Times New Roman" w:cs="Times New Roman"/>
                <w:sz w:val="21"/>
                <w:szCs w:val="21"/>
              </w:rPr>
              <w:t xml:space="preserve"> Res </w:t>
            </w:r>
            <w:proofErr w:type="spellStart"/>
            <w:r w:rsidRPr="006842D5">
              <w:rPr>
                <w:rFonts w:ascii="Times New Roman" w:eastAsia="맑은 고딕" w:hAnsi="Times New Roman" w:cs="Times New Roman"/>
                <w:sz w:val="21"/>
                <w:szCs w:val="21"/>
              </w:rPr>
              <w:t>Pract</w:t>
            </w:r>
            <w:proofErr w:type="spellEnd"/>
            <w:r w:rsidRPr="006842D5">
              <w:rPr>
                <w:rFonts w:ascii="Times New Roman" w:eastAsia="맑은 고딕" w:hAnsi="Times New Roman" w:cs="Times New Roman"/>
                <w:sz w:val="21"/>
                <w:szCs w:val="21"/>
              </w:rPr>
              <w:t xml:space="preserve">. 2016; 10(1): 74-80. </w:t>
            </w:r>
          </w:p>
        </w:tc>
        <w:tc>
          <w:tcPr>
            <w:tcW w:w="6123" w:type="dxa"/>
            <w:vAlign w:val="center"/>
          </w:tcPr>
          <w:p w14:paraId="0510506A"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Homocysteine levels at the age of 3 had a positive association with adiposity index and a negative association with folate levels. The combined effect of high adiposity and low folate levels was associated with high homocysteine levels.</w:t>
            </w:r>
          </w:p>
        </w:tc>
      </w:tr>
    </w:tbl>
    <w:p w14:paraId="654160DC" w14:textId="7AD120E0" w:rsidR="00C6157D" w:rsidRPr="006842D5" w:rsidRDefault="00C6157D" w:rsidP="004E137D">
      <w:pPr>
        <w:pStyle w:val="a6"/>
        <w:rPr>
          <w:rFonts w:ascii="Times New Roman" w:hAnsi="Times New Roman" w:cs="Times New Roman"/>
          <w:sz w:val="24"/>
          <w:szCs w:val="24"/>
        </w:rPr>
      </w:pPr>
    </w:p>
    <w:p w14:paraId="1194888F" w14:textId="77777777" w:rsidR="00EE4C12" w:rsidRPr="006842D5" w:rsidRDefault="00EE4C12" w:rsidP="00EE4C12">
      <w:pPr>
        <w:pStyle w:val="a6"/>
        <w:spacing w:line="360" w:lineRule="auto"/>
        <w:rPr>
          <w:rFonts w:ascii="Times New Roman" w:hAnsi="Times New Roman" w:cs="Times New Roman"/>
          <w:sz w:val="24"/>
          <w:szCs w:val="28"/>
        </w:rPr>
      </w:pPr>
    </w:p>
    <w:p w14:paraId="43E726B6" w14:textId="62508652" w:rsidR="00EE4C12" w:rsidRPr="006842D5" w:rsidRDefault="00EE4C12" w:rsidP="00EE4C12">
      <w:pPr>
        <w:pStyle w:val="a6"/>
        <w:spacing w:line="360" w:lineRule="auto"/>
        <w:rPr>
          <w:rFonts w:ascii="Times New Roman" w:hAnsi="Times New Roman" w:cs="Times New Roman"/>
          <w:sz w:val="24"/>
          <w:szCs w:val="28"/>
        </w:rPr>
      </w:pPr>
      <w:r w:rsidRPr="006842D5">
        <w:rPr>
          <w:rFonts w:ascii="Times New Roman" w:hAnsi="Times New Roman" w:cs="Times New Roman"/>
          <w:sz w:val="24"/>
          <w:szCs w:val="28"/>
        </w:rPr>
        <w:t xml:space="preserve">Supplemental Table 1. </w:t>
      </w:r>
      <w:r w:rsidR="006130CF" w:rsidRPr="006842D5">
        <w:rPr>
          <w:rFonts w:ascii="Times New Roman" w:hAnsi="Times New Roman" w:cs="Times New Roman"/>
          <w:sz w:val="24"/>
          <w:szCs w:val="24"/>
        </w:rPr>
        <w:t>Research hypothesis</w:t>
      </w:r>
      <w:r w:rsidR="006130CF" w:rsidRPr="006842D5">
        <w:rPr>
          <w:rFonts w:ascii="Times New Roman" w:hAnsi="Times New Roman" w:cs="Times New Roman"/>
          <w:sz w:val="24"/>
          <w:szCs w:val="28"/>
        </w:rPr>
        <w:t xml:space="preserve"> </w:t>
      </w:r>
      <w:r w:rsidRPr="006842D5">
        <w:rPr>
          <w:rFonts w:ascii="Times New Roman" w:hAnsi="Times New Roman" w:cs="Times New Roman"/>
          <w:sz w:val="24"/>
          <w:szCs w:val="28"/>
        </w:rPr>
        <w:t>(c</w:t>
      </w:r>
      <w:r w:rsidRPr="006842D5">
        <w:rPr>
          <w:rFonts w:ascii="Times New Roman" w:hAnsi="Times New Roman" w:cs="Times New Roman" w:hint="eastAsia"/>
          <w:sz w:val="24"/>
          <w:szCs w:val="28"/>
        </w:rPr>
        <w:t>ontinued)</w:t>
      </w:r>
      <w:r w:rsidRPr="006842D5">
        <w:rPr>
          <w:rFonts w:ascii="Times New Roman" w:hAnsi="Times New Roman" w:cs="Times New Roman"/>
          <w:sz w:val="24"/>
          <w:szCs w:val="28"/>
        </w:rPr>
        <w:t>.</w:t>
      </w: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473"/>
        <w:gridCol w:w="2098"/>
        <w:gridCol w:w="2097"/>
        <w:gridCol w:w="6138"/>
      </w:tblGrid>
      <w:tr w:rsidR="006842D5" w:rsidRPr="006842D5" w14:paraId="1BB668FF" w14:textId="77777777" w:rsidTr="00EE4C12">
        <w:tc>
          <w:tcPr>
            <w:tcW w:w="1872" w:type="dxa"/>
            <w:tcBorders>
              <w:top w:val="single" w:sz="4" w:space="0" w:color="auto"/>
              <w:bottom w:val="single" w:sz="4" w:space="0" w:color="auto"/>
            </w:tcBorders>
            <w:vAlign w:val="center"/>
          </w:tcPr>
          <w:p w14:paraId="182DB642" w14:textId="3882FE3A"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Category</w:t>
            </w:r>
          </w:p>
        </w:tc>
        <w:tc>
          <w:tcPr>
            <w:tcW w:w="2473" w:type="dxa"/>
            <w:tcBorders>
              <w:top w:val="single" w:sz="4" w:space="0" w:color="auto"/>
              <w:bottom w:val="single" w:sz="4" w:space="0" w:color="auto"/>
            </w:tcBorders>
            <w:vAlign w:val="center"/>
          </w:tcPr>
          <w:p w14:paraId="2CB5CFC1" w14:textId="145FC4A0"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Independent factors</w:t>
            </w:r>
          </w:p>
        </w:tc>
        <w:tc>
          <w:tcPr>
            <w:tcW w:w="2098" w:type="dxa"/>
            <w:tcBorders>
              <w:top w:val="single" w:sz="4" w:space="0" w:color="auto"/>
              <w:bottom w:val="single" w:sz="4" w:space="0" w:color="auto"/>
            </w:tcBorders>
            <w:vAlign w:val="center"/>
          </w:tcPr>
          <w:p w14:paraId="55EFE76B" w14:textId="3906E187"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Outcomes</w:t>
            </w:r>
          </w:p>
        </w:tc>
        <w:tc>
          <w:tcPr>
            <w:tcW w:w="2097" w:type="dxa"/>
            <w:tcBorders>
              <w:top w:val="single" w:sz="4" w:space="0" w:color="auto"/>
              <w:bottom w:val="single" w:sz="4" w:space="0" w:color="auto"/>
            </w:tcBorders>
            <w:vAlign w:val="center"/>
          </w:tcPr>
          <w:p w14:paraId="6F8DD892" w14:textId="5806C2BF"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Ref</w:t>
            </w:r>
          </w:p>
        </w:tc>
        <w:tc>
          <w:tcPr>
            <w:tcW w:w="6138" w:type="dxa"/>
            <w:tcBorders>
              <w:top w:val="single" w:sz="4" w:space="0" w:color="auto"/>
              <w:bottom w:val="single" w:sz="4" w:space="0" w:color="auto"/>
            </w:tcBorders>
            <w:vAlign w:val="center"/>
          </w:tcPr>
          <w:p w14:paraId="2FBA5E0A" w14:textId="1669F6E6"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Summary</w:t>
            </w:r>
          </w:p>
        </w:tc>
      </w:tr>
      <w:tr w:rsidR="006842D5" w:rsidRPr="006842D5" w14:paraId="11C39CE1" w14:textId="77777777" w:rsidTr="0003653C">
        <w:tc>
          <w:tcPr>
            <w:tcW w:w="1872" w:type="dxa"/>
            <w:tcBorders>
              <w:top w:val="single" w:sz="4" w:space="0" w:color="auto"/>
            </w:tcBorders>
          </w:tcPr>
          <w:p w14:paraId="3FE6BD6D" w14:textId="4D8F64C9"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bCs/>
                <w:sz w:val="21"/>
                <w:szCs w:val="21"/>
              </w:rPr>
              <w:t>Cardiovascular-disease-related markers</w:t>
            </w:r>
          </w:p>
        </w:tc>
        <w:tc>
          <w:tcPr>
            <w:tcW w:w="2473" w:type="dxa"/>
            <w:tcBorders>
              <w:top w:val="single" w:sz="4" w:space="0" w:color="auto"/>
            </w:tcBorders>
          </w:tcPr>
          <w:p w14:paraId="11FDE0AF"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SLC2A9 G844A and SLC22A12 C246T polymorphisms</w:t>
            </w:r>
          </w:p>
        </w:tc>
        <w:tc>
          <w:tcPr>
            <w:tcW w:w="2098" w:type="dxa"/>
            <w:tcBorders>
              <w:top w:val="single" w:sz="4" w:space="0" w:color="auto"/>
            </w:tcBorders>
          </w:tcPr>
          <w:p w14:paraId="53A14422"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Longitudinal trends in serum uric acid levels </w:t>
            </w:r>
          </w:p>
        </w:tc>
        <w:tc>
          <w:tcPr>
            <w:tcW w:w="2097" w:type="dxa"/>
            <w:tcBorders>
              <w:top w:val="single" w:sz="4" w:space="0" w:color="auto"/>
            </w:tcBorders>
            <w:vAlign w:val="center"/>
          </w:tcPr>
          <w:p w14:paraId="6CBFACC8" w14:textId="70EA09DC"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BMC </w:t>
            </w:r>
            <w:proofErr w:type="spellStart"/>
            <w:r w:rsidRPr="006842D5">
              <w:rPr>
                <w:rFonts w:ascii="Times New Roman" w:eastAsia="맑은 고딕" w:hAnsi="Times New Roman" w:cs="Times New Roman"/>
                <w:sz w:val="21"/>
                <w:szCs w:val="21"/>
              </w:rPr>
              <w:t>Pediatr</w:t>
            </w:r>
            <w:proofErr w:type="spellEnd"/>
            <w:r w:rsidRPr="006842D5">
              <w:rPr>
                <w:rFonts w:ascii="Times New Roman" w:eastAsia="맑은 고딕" w:hAnsi="Times New Roman" w:cs="Times New Roman"/>
                <w:sz w:val="21"/>
                <w:szCs w:val="21"/>
              </w:rPr>
              <w:t xml:space="preserve">. 2018; 18(1): 296. </w:t>
            </w:r>
          </w:p>
        </w:tc>
        <w:tc>
          <w:tcPr>
            <w:tcW w:w="6138" w:type="dxa"/>
            <w:tcBorders>
              <w:top w:val="single" w:sz="4" w:space="0" w:color="auto"/>
            </w:tcBorders>
          </w:tcPr>
          <w:p w14:paraId="10546C18" w14:textId="0FEEAB92"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Boys with the T allele of rs3825017 (SLC22A12 c. 246C &gt; T) had higher concentrations than their counterparts regardless of the time of follow-up. The rs16890979 genotypes (SLC2A9 c. 844G &gt; A) were not significantly associated with serum UA concentration in either sex.</w:t>
            </w:r>
          </w:p>
        </w:tc>
      </w:tr>
      <w:tr w:rsidR="006842D5" w:rsidRPr="006842D5" w14:paraId="12ED1FC3" w14:textId="77777777" w:rsidTr="0003653C">
        <w:tc>
          <w:tcPr>
            <w:tcW w:w="1872" w:type="dxa"/>
          </w:tcPr>
          <w:p w14:paraId="18661425" w14:textId="77777777" w:rsidR="00EE4C12" w:rsidRPr="006842D5" w:rsidRDefault="00EE4C12" w:rsidP="00EE4C12">
            <w:pPr>
              <w:rPr>
                <w:rFonts w:ascii="Times New Roman" w:eastAsia="맑은 고딕" w:hAnsi="Times New Roman" w:cs="Times New Roman"/>
                <w:sz w:val="21"/>
                <w:szCs w:val="21"/>
              </w:rPr>
            </w:pPr>
          </w:p>
        </w:tc>
        <w:tc>
          <w:tcPr>
            <w:tcW w:w="2473" w:type="dxa"/>
            <w:shd w:val="clear" w:color="auto" w:fill="F2F2F2" w:themeFill="background1" w:themeFillShade="F2"/>
          </w:tcPr>
          <w:p w14:paraId="1F1F8FF5"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Prenatal growth status</w:t>
            </w:r>
          </w:p>
        </w:tc>
        <w:tc>
          <w:tcPr>
            <w:tcW w:w="2098" w:type="dxa"/>
            <w:shd w:val="clear" w:color="auto" w:fill="F2F2F2" w:themeFill="background1" w:themeFillShade="F2"/>
          </w:tcPr>
          <w:p w14:paraId="18E26C8B"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Serum uric acid, cystatin C, blood urea nitrogen, creatinine levels, and estimated glomerular filtration rate</w:t>
            </w:r>
          </w:p>
        </w:tc>
        <w:tc>
          <w:tcPr>
            <w:tcW w:w="2097" w:type="dxa"/>
            <w:shd w:val="clear" w:color="auto" w:fill="F2F2F2" w:themeFill="background1" w:themeFillShade="F2"/>
            <w:vAlign w:val="center"/>
          </w:tcPr>
          <w:p w14:paraId="416ACF5C" w14:textId="5D893E06"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Korean Med Sci. 2019; 34(25): e174. </w:t>
            </w:r>
          </w:p>
        </w:tc>
        <w:tc>
          <w:tcPr>
            <w:tcW w:w="6138" w:type="dxa"/>
            <w:shd w:val="clear" w:color="auto" w:fill="F2F2F2" w:themeFill="background1" w:themeFillShade="F2"/>
          </w:tcPr>
          <w:p w14:paraId="39A1E579" w14:textId="14C1A1B0"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As birthweight decreased, uric acid and blood urea nitrogen (BUN) at ages 7–12 tended to increase. In addition, Cystatin C tended to increase as gestational weeks decreased.</w:t>
            </w:r>
          </w:p>
        </w:tc>
      </w:tr>
      <w:tr w:rsidR="006842D5" w:rsidRPr="006842D5" w14:paraId="67438D4A" w14:textId="77777777" w:rsidTr="0003653C">
        <w:tc>
          <w:tcPr>
            <w:tcW w:w="1872" w:type="dxa"/>
          </w:tcPr>
          <w:p w14:paraId="2DE83649" w14:textId="77777777" w:rsidR="00EE4C12" w:rsidRPr="006842D5" w:rsidRDefault="00EE4C12" w:rsidP="00EE4C12">
            <w:pPr>
              <w:rPr>
                <w:rFonts w:ascii="Times New Roman" w:eastAsia="맑은 고딕" w:hAnsi="Times New Roman" w:cs="Times New Roman"/>
                <w:sz w:val="21"/>
                <w:szCs w:val="21"/>
              </w:rPr>
            </w:pPr>
          </w:p>
        </w:tc>
        <w:tc>
          <w:tcPr>
            <w:tcW w:w="2473" w:type="dxa"/>
          </w:tcPr>
          <w:p w14:paraId="40775C12"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Continuous metabolic syndrome scores (</w:t>
            </w:r>
            <w:proofErr w:type="spellStart"/>
            <w:r w:rsidRPr="006842D5">
              <w:rPr>
                <w:rFonts w:ascii="Times New Roman" w:eastAsia="맑은 고딕" w:hAnsi="Times New Roman" w:cs="Times New Roman"/>
                <w:sz w:val="21"/>
                <w:szCs w:val="21"/>
              </w:rPr>
              <w:t>cMets</w:t>
            </w:r>
            <w:proofErr w:type="spellEnd"/>
            <w:r w:rsidRPr="006842D5">
              <w:rPr>
                <w:rFonts w:ascii="Times New Roman" w:eastAsia="맑은 고딕" w:hAnsi="Times New Roman" w:cs="Times New Roman"/>
                <w:sz w:val="21"/>
                <w:szCs w:val="21"/>
              </w:rPr>
              <w:t>)</w:t>
            </w:r>
          </w:p>
        </w:tc>
        <w:tc>
          <w:tcPr>
            <w:tcW w:w="2098" w:type="dxa"/>
          </w:tcPr>
          <w:p w14:paraId="3E13F84E" w14:textId="77777777" w:rsidR="00EE4C12" w:rsidRPr="006842D5" w:rsidRDefault="00EE4C12" w:rsidP="00EE4C12">
            <w:pPr>
              <w:jc w:val="left"/>
              <w:rPr>
                <w:rFonts w:ascii="Times New Roman" w:eastAsia="맑은 고딕" w:hAnsi="Times New Roman" w:cs="Times New Roman"/>
                <w:sz w:val="21"/>
                <w:szCs w:val="21"/>
              </w:rPr>
            </w:pPr>
            <w:proofErr w:type="spellStart"/>
            <w:r w:rsidRPr="006842D5">
              <w:rPr>
                <w:rFonts w:ascii="Times New Roman" w:eastAsia="맑은 고딕" w:hAnsi="Times New Roman" w:cs="Times New Roman"/>
                <w:sz w:val="21"/>
                <w:szCs w:val="21"/>
              </w:rPr>
              <w:t>hsCRP</w:t>
            </w:r>
            <w:proofErr w:type="spellEnd"/>
            <w:r w:rsidRPr="006842D5">
              <w:rPr>
                <w:rFonts w:ascii="Times New Roman" w:eastAsia="맑은 고딕" w:hAnsi="Times New Roman" w:cs="Times New Roman"/>
                <w:sz w:val="21"/>
                <w:szCs w:val="21"/>
              </w:rPr>
              <w:t>, ICAM-1, and VCAM-1</w:t>
            </w:r>
          </w:p>
        </w:tc>
        <w:tc>
          <w:tcPr>
            <w:tcW w:w="2097" w:type="dxa"/>
            <w:vAlign w:val="center"/>
          </w:tcPr>
          <w:p w14:paraId="1F29930B" w14:textId="751D44D1" w:rsidR="00EE4C12" w:rsidRPr="006842D5" w:rsidRDefault="00EE4C12" w:rsidP="00EE4C12">
            <w:pPr>
              <w:jc w:val="left"/>
              <w:rPr>
                <w:rFonts w:ascii="Times New Roman" w:eastAsia="맑은 고딕" w:hAnsi="Times New Roman" w:cs="Times New Roman"/>
                <w:sz w:val="21"/>
                <w:szCs w:val="21"/>
              </w:rPr>
            </w:pPr>
            <w:proofErr w:type="spellStart"/>
            <w:r w:rsidRPr="006842D5">
              <w:rPr>
                <w:rFonts w:ascii="Times New Roman" w:eastAsia="맑은 고딕" w:hAnsi="Times New Roman" w:cs="Times New Roman"/>
                <w:sz w:val="21"/>
                <w:szCs w:val="21"/>
              </w:rPr>
              <w:t>PLoS</w:t>
            </w:r>
            <w:proofErr w:type="spellEnd"/>
            <w:r w:rsidRPr="006842D5">
              <w:rPr>
                <w:rFonts w:ascii="Times New Roman" w:eastAsia="맑은 고딕" w:hAnsi="Times New Roman" w:cs="Times New Roman"/>
                <w:sz w:val="21"/>
                <w:szCs w:val="21"/>
              </w:rPr>
              <w:t xml:space="preserve"> One. 2020; 15(5): e0233469. </w:t>
            </w:r>
          </w:p>
        </w:tc>
        <w:tc>
          <w:tcPr>
            <w:tcW w:w="6138" w:type="dxa"/>
          </w:tcPr>
          <w:p w14:paraId="18FAC425"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An increase of one SD in the </w:t>
            </w:r>
            <w:proofErr w:type="spellStart"/>
            <w:r w:rsidRPr="006842D5">
              <w:rPr>
                <w:rFonts w:ascii="Times New Roman" w:eastAsia="맑은 고딕" w:hAnsi="Times New Roman" w:cs="Times New Roman"/>
                <w:sz w:val="21"/>
                <w:szCs w:val="21"/>
              </w:rPr>
              <w:t>cMets</w:t>
            </w:r>
            <w:proofErr w:type="spellEnd"/>
            <w:r w:rsidRPr="006842D5">
              <w:rPr>
                <w:rFonts w:ascii="Times New Roman" w:eastAsia="맑은 고딕" w:hAnsi="Times New Roman" w:cs="Times New Roman"/>
                <w:sz w:val="21"/>
                <w:szCs w:val="21"/>
              </w:rPr>
              <w:t xml:space="preserve"> score was related to an unfavorable inflammatory status and endothelial dysfunction in adolescents (aged 13–15 years).</w:t>
            </w:r>
          </w:p>
        </w:tc>
      </w:tr>
      <w:tr w:rsidR="006842D5" w:rsidRPr="006842D5" w14:paraId="43676790" w14:textId="77777777" w:rsidTr="0003653C">
        <w:tc>
          <w:tcPr>
            <w:tcW w:w="1872" w:type="dxa"/>
          </w:tcPr>
          <w:p w14:paraId="25904586" w14:textId="77777777" w:rsidR="00EE4C12" w:rsidRPr="006842D5" w:rsidRDefault="00EE4C12" w:rsidP="00EE4C12">
            <w:pPr>
              <w:rPr>
                <w:rFonts w:ascii="Times New Roman" w:eastAsia="맑은 고딕" w:hAnsi="Times New Roman" w:cs="Times New Roman"/>
                <w:sz w:val="21"/>
                <w:szCs w:val="21"/>
              </w:rPr>
            </w:pPr>
          </w:p>
        </w:tc>
        <w:tc>
          <w:tcPr>
            <w:tcW w:w="2473" w:type="dxa"/>
            <w:shd w:val="clear" w:color="auto" w:fill="F2F2F2" w:themeFill="background1" w:themeFillShade="F2"/>
          </w:tcPr>
          <w:p w14:paraId="2AC7DFE7"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Dietary zinc and obesity</w:t>
            </w:r>
          </w:p>
        </w:tc>
        <w:tc>
          <w:tcPr>
            <w:tcW w:w="2098" w:type="dxa"/>
            <w:shd w:val="clear" w:color="auto" w:fill="F2F2F2" w:themeFill="background1" w:themeFillShade="F2"/>
          </w:tcPr>
          <w:p w14:paraId="50E55990"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Uric acid levels </w:t>
            </w:r>
          </w:p>
        </w:tc>
        <w:tc>
          <w:tcPr>
            <w:tcW w:w="2097" w:type="dxa"/>
            <w:shd w:val="clear" w:color="auto" w:fill="F2F2F2" w:themeFill="background1" w:themeFillShade="F2"/>
            <w:vAlign w:val="center"/>
          </w:tcPr>
          <w:p w14:paraId="09A9CF72" w14:textId="7EE6018E" w:rsidR="00EE4C12" w:rsidRPr="006842D5" w:rsidRDefault="00EE4C12" w:rsidP="00EE4C12">
            <w:pPr>
              <w:jc w:val="left"/>
              <w:rPr>
                <w:rFonts w:ascii="Times New Roman" w:eastAsia="맑은 고딕" w:hAnsi="Times New Roman" w:cs="Times New Roman"/>
                <w:sz w:val="21"/>
                <w:szCs w:val="21"/>
              </w:rPr>
            </w:pPr>
            <w:proofErr w:type="spellStart"/>
            <w:r w:rsidRPr="006842D5">
              <w:rPr>
                <w:rFonts w:ascii="Times New Roman" w:eastAsia="맑은 고딕" w:hAnsi="Times New Roman" w:cs="Times New Roman"/>
                <w:sz w:val="21"/>
                <w:szCs w:val="21"/>
              </w:rPr>
              <w:t>Nutr</w:t>
            </w:r>
            <w:proofErr w:type="spellEnd"/>
            <w:r w:rsidRPr="006842D5">
              <w:rPr>
                <w:rFonts w:ascii="Times New Roman" w:eastAsia="맑은 고딕" w:hAnsi="Times New Roman" w:cs="Times New Roman"/>
                <w:sz w:val="21"/>
                <w:szCs w:val="21"/>
              </w:rPr>
              <w:t xml:space="preserve"> Res </w:t>
            </w:r>
            <w:proofErr w:type="spellStart"/>
            <w:r w:rsidRPr="006842D5">
              <w:rPr>
                <w:rFonts w:ascii="Times New Roman" w:eastAsia="맑은 고딕" w:hAnsi="Times New Roman" w:cs="Times New Roman"/>
                <w:sz w:val="21"/>
                <w:szCs w:val="21"/>
              </w:rPr>
              <w:t>Pract</w:t>
            </w:r>
            <w:proofErr w:type="spellEnd"/>
            <w:r w:rsidRPr="006842D5">
              <w:rPr>
                <w:rFonts w:ascii="Times New Roman" w:eastAsia="맑은 고딕" w:hAnsi="Times New Roman" w:cs="Times New Roman"/>
                <w:sz w:val="21"/>
                <w:szCs w:val="21"/>
              </w:rPr>
              <w:t xml:space="preserve">. 2020; </w:t>
            </w:r>
            <w:r w:rsidRPr="006842D5">
              <w:rPr>
                <w:rFonts w:ascii="Times New Roman" w:eastAsia="맑은 고딕" w:hAnsi="Times New Roman" w:cs="Times New Roman"/>
                <w:sz w:val="21"/>
                <w:szCs w:val="21"/>
              </w:rPr>
              <w:lastRenderedPageBreak/>
              <w:t xml:space="preserve">14(4): 365-73. </w:t>
            </w:r>
          </w:p>
        </w:tc>
        <w:tc>
          <w:tcPr>
            <w:tcW w:w="6138" w:type="dxa"/>
            <w:shd w:val="clear" w:color="auto" w:fill="F2F2F2" w:themeFill="background1" w:themeFillShade="F2"/>
          </w:tcPr>
          <w:p w14:paraId="5287EBA1" w14:textId="6364A1DF"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lastRenderedPageBreak/>
              <w:t xml:space="preserve">The dietary zinc intake level at 3 years of age and the BMI level at 7 </w:t>
            </w:r>
            <w:r w:rsidRPr="006842D5">
              <w:rPr>
                <w:rFonts w:ascii="Times New Roman" w:eastAsia="맑은 고딕" w:hAnsi="Times New Roman" w:cs="Times New Roman"/>
                <w:sz w:val="21"/>
                <w:szCs w:val="21"/>
              </w:rPr>
              <w:lastRenderedPageBreak/>
              <w:t>years of age were related to uric acid levels in children at 7 years of age.</w:t>
            </w:r>
          </w:p>
        </w:tc>
      </w:tr>
      <w:tr w:rsidR="006842D5" w:rsidRPr="006842D5" w14:paraId="6ED5EEFF" w14:textId="77777777" w:rsidTr="0003653C">
        <w:tc>
          <w:tcPr>
            <w:tcW w:w="1872" w:type="dxa"/>
          </w:tcPr>
          <w:p w14:paraId="70FCE49D" w14:textId="77777777" w:rsidR="00EE4C12" w:rsidRPr="006842D5" w:rsidRDefault="00EE4C12" w:rsidP="00EE4C12">
            <w:pPr>
              <w:widowControl/>
              <w:wordWrap/>
              <w:autoSpaceDE/>
              <w:autoSpaceDN/>
              <w:rPr>
                <w:rFonts w:ascii="Times New Roman" w:eastAsia="맑은 고딕" w:hAnsi="Times New Roman" w:cs="Times New Roman"/>
                <w:bCs/>
                <w:sz w:val="21"/>
                <w:szCs w:val="21"/>
              </w:rPr>
            </w:pPr>
            <w:r w:rsidRPr="006842D5">
              <w:rPr>
                <w:rFonts w:ascii="Times New Roman" w:eastAsia="맑은 고딕" w:hAnsi="Times New Roman" w:cs="Times New Roman"/>
                <w:bCs/>
                <w:sz w:val="21"/>
                <w:szCs w:val="21"/>
              </w:rPr>
              <w:lastRenderedPageBreak/>
              <w:t>Others</w:t>
            </w:r>
          </w:p>
        </w:tc>
        <w:tc>
          <w:tcPr>
            <w:tcW w:w="2473" w:type="dxa"/>
          </w:tcPr>
          <w:p w14:paraId="30DB4B0E"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Folate and homocysteine levels during pregnancy</w:t>
            </w:r>
          </w:p>
        </w:tc>
        <w:tc>
          <w:tcPr>
            <w:tcW w:w="2098" w:type="dxa"/>
          </w:tcPr>
          <w:p w14:paraId="67DB20D7"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DNA methylation in human placenta</w:t>
            </w:r>
          </w:p>
        </w:tc>
        <w:tc>
          <w:tcPr>
            <w:tcW w:w="2097" w:type="dxa"/>
            <w:vAlign w:val="center"/>
          </w:tcPr>
          <w:p w14:paraId="5C87C041" w14:textId="58D699B3"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w:t>
            </w:r>
            <w:proofErr w:type="spellStart"/>
            <w:r w:rsidRPr="006842D5">
              <w:rPr>
                <w:rFonts w:ascii="Times New Roman" w:eastAsia="맑은 고딕" w:hAnsi="Times New Roman" w:cs="Times New Roman"/>
                <w:sz w:val="21"/>
                <w:szCs w:val="21"/>
              </w:rPr>
              <w:t>Peve</w:t>
            </w:r>
            <w:proofErr w:type="spellEnd"/>
            <w:r w:rsidRPr="006842D5">
              <w:rPr>
                <w:rFonts w:ascii="Times New Roman" w:eastAsia="맑은 고딕" w:hAnsi="Times New Roman" w:cs="Times New Roman"/>
                <w:sz w:val="21"/>
                <w:szCs w:val="21"/>
              </w:rPr>
              <w:t xml:space="preserve"> Med Public Health. 2005; 38(4): 437-42.</w:t>
            </w:r>
          </w:p>
        </w:tc>
        <w:tc>
          <w:tcPr>
            <w:tcW w:w="6138" w:type="dxa"/>
          </w:tcPr>
          <w:p w14:paraId="5EE769E2" w14:textId="26A2C60C"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Maternal folate and homocysteine levels along with the methylenetetrahydrofolate reductase (MTHFR) 677 genetic polymorphism during pregnancy affect DNA methylation in the human placenta.</w:t>
            </w:r>
          </w:p>
        </w:tc>
      </w:tr>
      <w:tr w:rsidR="006842D5" w:rsidRPr="006842D5" w14:paraId="7C98285F" w14:textId="77777777" w:rsidTr="00EE4C12">
        <w:tc>
          <w:tcPr>
            <w:tcW w:w="1872" w:type="dxa"/>
          </w:tcPr>
          <w:p w14:paraId="203E9C0F" w14:textId="77777777" w:rsidR="00EE4C12" w:rsidRPr="006842D5" w:rsidRDefault="00EE4C12" w:rsidP="00EE4C12">
            <w:pPr>
              <w:rPr>
                <w:rFonts w:ascii="Times New Roman" w:eastAsia="맑은 고딕" w:hAnsi="Times New Roman" w:cs="Times New Roman"/>
                <w:sz w:val="21"/>
                <w:szCs w:val="21"/>
              </w:rPr>
            </w:pPr>
          </w:p>
        </w:tc>
        <w:tc>
          <w:tcPr>
            <w:tcW w:w="2473" w:type="dxa"/>
            <w:shd w:val="clear" w:color="auto" w:fill="F2F2F2" w:themeFill="background1" w:themeFillShade="F2"/>
          </w:tcPr>
          <w:p w14:paraId="1CF5A2D3"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Intrauterine oxidative stress and antioxidant vitamins</w:t>
            </w:r>
          </w:p>
        </w:tc>
        <w:tc>
          <w:tcPr>
            <w:tcW w:w="2098" w:type="dxa"/>
            <w:shd w:val="clear" w:color="auto" w:fill="F2F2F2" w:themeFill="background1" w:themeFillShade="F2"/>
          </w:tcPr>
          <w:p w14:paraId="1674350C"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Childhood behavioral development at 4 years of age</w:t>
            </w:r>
          </w:p>
        </w:tc>
        <w:tc>
          <w:tcPr>
            <w:tcW w:w="2097" w:type="dxa"/>
            <w:shd w:val="clear" w:color="auto" w:fill="F2F2F2" w:themeFill="background1" w:themeFillShade="F2"/>
          </w:tcPr>
          <w:p w14:paraId="0323D046" w14:textId="3BD33E45"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Korean </w:t>
            </w:r>
            <w:proofErr w:type="spellStart"/>
            <w:r w:rsidRPr="006842D5">
              <w:rPr>
                <w:rFonts w:ascii="Times New Roman" w:eastAsia="맑은 고딕" w:hAnsi="Times New Roman" w:cs="Times New Roman"/>
                <w:sz w:val="21"/>
                <w:szCs w:val="21"/>
              </w:rPr>
              <w:t>Neuropsychiatr</w:t>
            </w:r>
            <w:proofErr w:type="spellEnd"/>
            <w:r w:rsidRPr="006842D5">
              <w:rPr>
                <w:rFonts w:ascii="Times New Roman" w:eastAsia="맑은 고딕" w:hAnsi="Times New Roman" w:cs="Times New Roman"/>
                <w:sz w:val="21"/>
                <w:szCs w:val="21"/>
              </w:rPr>
              <w:t xml:space="preserve"> Assoc. 2009; 48(3): 153-9.</w:t>
            </w:r>
          </w:p>
        </w:tc>
        <w:tc>
          <w:tcPr>
            <w:tcW w:w="6138" w:type="dxa"/>
            <w:shd w:val="clear" w:color="auto" w:fill="F2F2F2" w:themeFill="background1" w:themeFillShade="F2"/>
          </w:tcPr>
          <w:p w14:paraId="0FF9C8C7"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Maternal vitamins and oxidative stress during pregnancy were associated with the development of behavior in offspring.</w:t>
            </w:r>
          </w:p>
        </w:tc>
      </w:tr>
      <w:tr w:rsidR="006842D5" w:rsidRPr="006842D5" w14:paraId="01674162" w14:textId="77777777" w:rsidTr="0003653C">
        <w:tc>
          <w:tcPr>
            <w:tcW w:w="1872" w:type="dxa"/>
          </w:tcPr>
          <w:p w14:paraId="7451D08D" w14:textId="77777777" w:rsidR="00EE4C12" w:rsidRPr="006842D5" w:rsidRDefault="00EE4C12" w:rsidP="00EE4C12">
            <w:pPr>
              <w:rPr>
                <w:rFonts w:ascii="Times New Roman" w:eastAsia="맑은 고딕" w:hAnsi="Times New Roman" w:cs="Times New Roman"/>
                <w:sz w:val="21"/>
                <w:szCs w:val="21"/>
              </w:rPr>
            </w:pPr>
          </w:p>
        </w:tc>
        <w:tc>
          <w:tcPr>
            <w:tcW w:w="2473" w:type="dxa"/>
          </w:tcPr>
          <w:p w14:paraId="01BA9DCC" w14:textId="4D9492A0"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Birthweight and body weight at 3 </w:t>
            </w:r>
            <w:proofErr w:type="spellStart"/>
            <w:r w:rsidRPr="006842D5">
              <w:rPr>
                <w:rFonts w:ascii="Times New Roman" w:eastAsia="맑은 고딕" w:hAnsi="Times New Roman" w:cs="Times New Roman"/>
                <w:sz w:val="21"/>
                <w:szCs w:val="21"/>
              </w:rPr>
              <w:t>yrs</w:t>
            </w:r>
            <w:proofErr w:type="spellEnd"/>
          </w:p>
        </w:tc>
        <w:tc>
          <w:tcPr>
            <w:tcW w:w="2098" w:type="dxa"/>
          </w:tcPr>
          <w:p w14:paraId="6F44563A"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Respiratory illness</w:t>
            </w:r>
          </w:p>
        </w:tc>
        <w:tc>
          <w:tcPr>
            <w:tcW w:w="2097" w:type="dxa"/>
            <w:vAlign w:val="center"/>
          </w:tcPr>
          <w:p w14:paraId="2BACD4FA" w14:textId="3208B98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J Prev Med Public Health. 2010; 43(5): 369-76.</w:t>
            </w:r>
          </w:p>
        </w:tc>
        <w:tc>
          <w:tcPr>
            <w:tcW w:w="6138" w:type="dxa"/>
          </w:tcPr>
          <w:p w14:paraId="20734693" w14:textId="32A2645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Children in the lowest birthweight </w:t>
            </w:r>
            <w:proofErr w:type="spellStart"/>
            <w:r w:rsidRPr="006842D5">
              <w:rPr>
                <w:rFonts w:ascii="Times New Roman" w:eastAsia="맑은 고딕" w:hAnsi="Times New Roman" w:cs="Times New Roman"/>
                <w:sz w:val="21"/>
                <w:szCs w:val="21"/>
              </w:rPr>
              <w:t>tertile</w:t>
            </w:r>
            <w:proofErr w:type="spellEnd"/>
            <w:r w:rsidRPr="006842D5">
              <w:rPr>
                <w:rFonts w:ascii="Times New Roman" w:eastAsia="맑은 고딕" w:hAnsi="Times New Roman" w:cs="Times New Roman"/>
                <w:sz w:val="21"/>
                <w:szCs w:val="21"/>
              </w:rPr>
              <w:t xml:space="preserve"> (</w:t>
            </w:r>
            <w:proofErr w:type="spellStart"/>
            <w:r w:rsidRPr="006842D5">
              <w:rPr>
                <w:rFonts w:ascii="Times New Roman" w:eastAsia="맑은 고딕" w:hAnsi="Times New Roman" w:cs="Times New Roman"/>
                <w:sz w:val="21"/>
                <w:szCs w:val="21"/>
              </w:rPr>
              <w:t>aOR</w:t>
            </w:r>
            <w:proofErr w:type="spellEnd"/>
            <w:r w:rsidRPr="006842D5">
              <w:rPr>
                <w:rFonts w:ascii="Times New Roman" w:eastAsia="맑은 고딕" w:hAnsi="Times New Roman" w:cs="Times New Roman"/>
                <w:sz w:val="21"/>
                <w:szCs w:val="21"/>
              </w:rPr>
              <w:t xml:space="preserve"> = 3.97, 95% CI = 0.94-16.68) or highest BMI </w:t>
            </w:r>
            <w:proofErr w:type="spellStart"/>
            <w:r w:rsidRPr="006842D5">
              <w:rPr>
                <w:rFonts w:ascii="Times New Roman" w:eastAsia="맑은 고딕" w:hAnsi="Times New Roman" w:cs="Times New Roman"/>
                <w:sz w:val="21"/>
                <w:szCs w:val="21"/>
              </w:rPr>
              <w:t>tertile</w:t>
            </w:r>
            <w:proofErr w:type="spellEnd"/>
            <w:r w:rsidRPr="006842D5">
              <w:rPr>
                <w:rFonts w:ascii="Times New Roman" w:eastAsia="맑은 고딕" w:hAnsi="Times New Roman" w:cs="Times New Roman"/>
                <w:sz w:val="21"/>
                <w:szCs w:val="21"/>
              </w:rPr>
              <w:t xml:space="preserve"> (</w:t>
            </w:r>
            <w:proofErr w:type="spellStart"/>
            <w:r w:rsidRPr="006842D5">
              <w:rPr>
                <w:rFonts w:ascii="Times New Roman" w:eastAsia="맑은 고딕" w:hAnsi="Times New Roman" w:cs="Times New Roman"/>
                <w:sz w:val="21"/>
                <w:szCs w:val="21"/>
              </w:rPr>
              <w:t>aOR</w:t>
            </w:r>
            <w:proofErr w:type="spellEnd"/>
            <w:r w:rsidRPr="006842D5">
              <w:rPr>
                <w:rFonts w:ascii="Times New Roman" w:eastAsia="맑은 고딕" w:hAnsi="Times New Roman" w:cs="Times New Roman"/>
                <w:sz w:val="21"/>
                <w:szCs w:val="21"/>
              </w:rPr>
              <w:t xml:space="preserve"> = 3.68, 95% CI = 1.24-10.95) at 3 years of age were at increased risk of chronic respiratory illness.</w:t>
            </w:r>
          </w:p>
        </w:tc>
      </w:tr>
      <w:tr w:rsidR="006842D5" w:rsidRPr="006842D5" w14:paraId="5C6B87F3" w14:textId="77777777" w:rsidTr="0003653C">
        <w:tc>
          <w:tcPr>
            <w:tcW w:w="1872" w:type="dxa"/>
          </w:tcPr>
          <w:p w14:paraId="7144071E" w14:textId="77777777" w:rsidR="00EE4C12" w:rsidRPr="006842D5" w:rsidRDefault="00EE4C12" w:rsidP="00EE4C12">
            <w:pPr>
              <w:rPr>
                <w:rFonts w:ascii="Times New Roman" w:eastAsia="맑은 고딕" w:hAnsi="Times New Roman" w:cs="Times New Roman"/>
                <w:sz w:val="21"/>
                <w:szCs w:val="21"/>
              </w:rPr>
            </w:pPr>
          </w:p>
        </w:tc>
        <w:tc>
          <w:tcPr>
            <w:tcW w:w="2473" w:type="dxa"/>
            <w:shd w:val="clear" w:color="auto" w:fill="F2F2F2" w:themeFill="background1" w:themeFillShade="F2"/>
          </w:tcPr>
          <w:p w14:paraId="59D204C8"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Environmental tobacco smoke exposure and glutathione s-transferase polymorphism</w:t>
            </w:r>
          </w:p>
        </w:tc>
        <w:tc>
          <w:tcPr>
            <w:tcW w:w="2098" w:type="dxa"/>
            <w:shd w:val="clear" w:color="auto" w:fill="F2F2F2" w:themeFill="background1" w:themeFillShade="F2"/>
          </w:tcPr>
          <w:p w14:paraId="690E4DD6"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Childhood behavioral development </w:t>
            </w:r>
          </w:p>
        </w:tc>
        <w:tc>
          <w:tcPr>
            <w:tcW w:w="2097" w:type="dxa"/>
            <w:shd w:val="clear" w:color="auto" w:fill="F2F2F2" w:themeFill="background1" w:themeFillShade="F2"/>
            <w:vAlign w:val="center"/>
          </w:tcPr>
          <w:p w14:paraId="64CCFB22" w14:textId="13C24F6E"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Korean </w:t>
            </w:r>
            <w:proofErr w:type="spellStart"/>
            <w:r w:rsidRPr="006842D5">
              <w:rPr>
                <w:rFonts w:ascii="Times New Roman" w:eastAsia="맑은 고딕" w:hAnsi="Times New Roman" w:cs="Times New Roman"/>
                <w:sz w:val="21"/>
                <w:szCs w:val="21"/>
              </w:rPr>
              <w:t>Neuropsychiatr</w:t>
            </w:r>
            <w:proofErr w:type="spellEnd"/>
            <w:r w:rsidRPr="006842D5">
              <w:rPr>
                <w:rFonts w:ascii="Times New Roman" w:eastAsia="맑은 고딕" w:hAnsi="Times New Roman" w:cs="Times New Roman"/>
                <w:sz w:val="21"/>
                <w:szCs w:val="21"/>
              </w:rPr>
              <w:t xml:space="preserve"> Assoc. 2011; 50: 465-75.</w:t>
            </w:r>
          </w:p>
        </w:tc>
        <w:tc>
          <w:tcPr>
            <w:tcW w:w="6138" w:type="dxa"/>
            <w:shd w:val="clear" w:color="auto" w:fill="F2F2F2" w:themeFill="background1" w:themeFillShade="F2"/>
          </w:tcPr>
          <w:p w14:paraId="26CB32E0" w14:textId="243595BD"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Environmental tobacco smoke (ETS) exposure during mid-pregnancy based on urine cotinine levels, not ETS during early childhood, had a significant association with increased total scores and externalizing problem scores of K-CBCL. This did not depend on glutathione S-transferase polymorphisms.</w:t>
            </w:r>
          </w:p>
        </w:tc>
      </w:tr>
    </w:tbl>
    <w:p w14:paraId="244B678C" w14:textId="6485C54C" w:rsidR="00C6157D" w:rsidRPr="006842D5" w:rsidRDefault="00C6157D" w:rsidP="004E137D">
      <w:pPr>
        <w:pStyle w:val="a6"/>
        <w:rPr>
          <w:rFonts w:ascii="Times New Roman" w:hAnsi="Times New Roman" w:cs="Times New Roman"/>
          <w:sz w:val="24"/>
          <w:szCs w:val="24"/>
        </w:rPr>
      </w:pPr>
    </w:p>
    <w:p w14:paraId="0F0764B1" w14:textId="77777777" w:rsidR="00EE4C12" w:rsidRPr="006842D5" w:rsidRDefault="00EE4C12" w:rsidP="00EE4C12">
      <w:pPr>
        <w:pStyle w:val="a6"/>
        <w:spacing w:line="360" w:lineRule="auto"/>
        <w:rPr>
          <w:rFonts w:ascii="Times New Roman" w:hAnsi="Times New Roman" w:cs="Times New Roman"/>
          <w:sz w:val="24"/>
          <w:szCs w:val="28"/>
        </w:rPr>
      </w:pPr>
    </w:p>
    <w:p w14:paraId="7AEEE838" w14:textId="3D33BA9E" w:rsidR="00EE4C12" w:rsidRPr="006842D5" w:rsidRDefault="00EE4C12" w:rsidP="00EE4C12">
      <w:pPr>
        <w:pStyle w:val="a6"/>
        <w:spacing w:line="360" w:lineRule="auto"/>
        <w:rPr>
          <w:rFonts w:ascii="Times New Roman" w:hAnsi="Times New Roman" w:cs="Times New Roman"/>
          <w:sz w:val="24"/>
          <w:szCs w:val="28"/>
        </w:rPr>
      </w:pPr>
      <w:r w:rsidRPr="006842D5">
        <w:rPr>
          <w:rFonts w:ascii="Times New Roman" w:hAnsi="Times New Roman" w:cs="Times New Roman"/>
          <w:sz w:val="24"/>
          <w:szCs w:val="28"/>
        </w:rPr>
        <w:t xml:space="preserve">Supplemental Table 1. </w:t>
      </w:r>
      <w:r w:rsidR="006130CF" w:rsidRPr="006842D5">
        <w:rPr>
          <w:rFonts w:ascii="Times New Roman" w:hAnsi="Times New Roman" w:cs="Times New Roman"/>
          <w:sz w:val="24"/>
          <w:szCs w:val="24"/>
        </w:rPr>
        <w:t>Research hypothesis</w:t>
      </w:r>
      <w:r w:rsidR="006130CF" w:rsidRPr="006842D5">
        <w:rPr>
          <w:rFonts w:ascii="Times New Roman" w:hAnsi="Times New Roman" w:cs="Times New Roman"/>
          <w:sz w:val="24"/>
          <w:szCs w:val="28"/>
        </w:rPr>
        <w:t xml:space="preserve"> </w:t>
      </w:r>
      <w:r w:rsidRPr="006842D5">
        <w:rPr>
          <w:rFonts w:ascii="Times New Roman" w:hAnsi="Times New Roman" w:cs="Times New Roman"/>
          <w:sz w:val="24"/>
          <w:szCs w:val="28"/>
        </w:rPr>
        <w:t>(c</w:t>
      </w:r>
      <w:r w:rsidRPr="006842D5">
        <w:rPr>
          <w:rFonts w:ascii="Times New Roman" w:hAnsi="Times New Roman" w:cs="Times New Roman" w:hint="eastAsia"/>
          <w:sz w:val="24"/>
          <w:szCs w:val="28"/>
        </w:rPr>
        <w:t>ontinued)</w:t>
      </w:r>
      <w:r w:rsidRPr="006842D5">
        <w:rPr>
          <w:rFonts w:ascii="Times New Roman" w:hAnsi="Times New Roman" w:cs="Times New Roman"/>
          <w:sz w:val="24"/>
          <w:szCs w:val="28"/>
        </w:rPr>
        <w:t>.</w:t>
      </w:r>
    </w:p>
    <w:tbl>
      <w:tblPr>
        <w:tblStyle w:val="ac"/>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618"/>
        <w:gridCol w:w="1948"/>
        <w:gridCol w:w="2097"/>
        <w:gridCol w:w="6143"/>
      </w:tblGrid>
      <w:tr w:rsidR="006842D5" w:rsidRPr="006842D5" w14:paraId="180B8EA0" w14:textId="77777777" w:rsidTr="00EE4C12">
        <w:tc>
          <w:tcPr>
            <w:tcW w:w="1872" w:type="dxa"/>
            <w:tcBorders>
              <w:top w:val="single" w:sz="4" w:space="0" w:color="auto"/>
              <w:bottom w:val="single" w:sz="4" w:space="0" w:color="auto"/>
            </w:tcBorders>
            <w:vAlign w:val="center"/>
          </w:tcPr>
          <w:p w14:paraId="7BD01968" w14:textId="64167323"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Category</w:t>
            </w:r>
          </w:p>
        </w:tc>
        <w:tc>
          <w:tcPr>
            <w:tcW w:w="2618" w:type="dxa"/>
            <w:tcBorders>
              <w:top w:val="single" w:sz="4" w:space="0" w:color="auto"/>
              <w:bottom w:val="single" w:sz="4" w:space="0" w:color="auto"/>
            </w:tcBorders>
            <w:vAlign w:val="center"/>
          </w:tcPr>
          <w:p w14:paraId="796BA9C8" w14:textId="4C4C047E"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Independent factors</w:t>
            </w:r>
          </w:p>
        </w:tc>
        <w:tc>
          <w:tcPr>
            <w:tcW w:w="1948" w:type="dxa"/>
            <w:tcBorders>
              <w:top w:val="single" w:sz="4" w:space="0" w:color="auto"/>
              <w:bottom w:val="single" w:sz="4" w:space="0" w:color="auto"/>
            </w:tcBorders>
            <w:vAlign w:val="center"/>
          </w:tcPr>
          <w:p w14:paraId="325D595D" w14:textId="1B553C81"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Outcomes</w:t>
            </w:r>
          </w:p>
        </w:tc>
        <w:tc>
          <w:tcPr>
            <w:tcW w:w="2097" w:type="dxa"/>
            <w:tcBorders>
              <w:top w:val="single" w:sz="4" w:space="0" w:color="auto"/>
              <w:bottom w:val="single" w:sz="4" w:space="0" w:color="auto"/>
            </w:tcBorders>
            <w:vAlign w:val="center"/>
          </w:tcPr>
          <w:p w14:paraId="423A1A6E" w14:textId="2FFED577"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Ref</w:t>
            </w:r>
          </w:p>
        </w:tc>
        <w:tc>
          <w:tcPr>
            <w:tcW w:w="6143" w:type="dxa"/>
            <w:tcBorders>
              <w:top w:val="single" w:sz="4" w:space="0" w:color="auto"/>
              <w:bottom w:val="single" w:sz="4" w:space="0" w:color="auto"/>
            </w:tcBorders>
            <w:vAlign w:val="center"/>
          </w:tcPr>
          <w:p w14:paraId="4A14B90A" w14:textId="5E4FFD56" w:rsidR="00EE4C12" w:rsidRPr="006842D5" w:rsidRDefault="00EE4C12" w:rsidP="00EE4C12">
            <w:pPr>
              <w:pStyle w:val="a6"/>
              <w:rPr>
                <w:rFonts w:ascii="Times New Roman" w:hAnsi="Times New Roman" w:cs="Times New Roman"/>
                <w:sz w:val="24"/>
                <w:szCs w:val="24"/>
              </w:rPr>
            </w:pPr>
            <w:r w:rsidRPr="006842D5">
              <w:rPr>
                <w:rFonts w:ascii="Times New Roman" w:hAnsi="Times New Roman" w:cs="Times New Roman"/>
                <w:sz w:val="24"/>
                <w:szCs w:val="24"/>
              </w:rPr>
              <w:t>Summary</w:t>
            </w:r>
          </w:p>
        </w:tc>
      </w:tr>
      <w:tr w:rsidR="006842D5" w:rsidRPr="006842D5" w14:paraId="4FBFA23E" w14:textId="77777777" w:rsidTr="00EE4C12">
        <w:tc>
          <w:tcPr>
            <w:tcW w:w="1872" w:type="dxa"/>
            <w:tcBorders>
              <w:top w:val="single" w:sz="4" w:space="0" w:color="auto"/>
            </w:tcBorders>
            <w:vAlign w:val="center"/>
          </w:tcPr>
          <w:p w14:paraId="0E6B4960"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bCs/>
                <w:sz w:val="21"/>
                <w:szCs w:val="21"/>
              </w:rPr>
              <w:t>Others</w:t>
            </w:r>
          </w:p>
        </w:tc>
        <w:tc>
          <w:tcPr>
            <w:tcW w:w="2618" w:type="dxa"/>
            <w:tcBorders>
              <w:top w:val="single" w:sz="4" w:space="0" w:color="auto"/>
            </w:tcBorders>
            <w:vAlign w:val="center"/>
          </w:tcPr>
          <w:p w14:paraId="44EA92A9"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Early life risk factors</w:t>
            </w:r>
          </w:p>
        </w:tc>
        <w:tc>
          <w:tcPr>
            <w:tcW w:w="1948" w:type="dxa"/>
            <w:tcBorders>
              <w:top w:val="single" w:sz="4" w:space="0" w:color="auto"/>
            </w:tcBorders>
            <w:vAlign w:val="center"/>
          </w:tcPr>
          <w:p w14:paraId="76092C5E"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Bone mineral density (BMD) at 5 years old</w:t>
            </w:r>
          </w:p>
        </w:tc>
        <w:tc>
          <w:tcPr>
            <w:tcW w:w="2097" w:type="dxa"/>
            <w:tcBorders>
              <w:top w:val="single" w:sz="4" w:space="0" w:color="auto"/>
            </w:tcBorders>
            <w:vAlign w:val="center"/>
          </w:tcPr>
          <w:p w14:paraId="58F7FD38" w14:textId="421737A9"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Korean Soc </w:t>
            </w:r>
            <w:proofErr w:type="spellStart"/>
            <w:r w:rsidRPr="006842D5">
              <w:rPr>
                <w:rFonts w:ascii="Times New Roman" w:eastAsia="맑은 고딕" w:hAnsi="Times New Roman" w:cs="Times New Roman"/>
                <w:sz w:val="21"/>
                <w:szCs w:val="21"/>
              </w:rPr>
              <w:t>Matern</w:t>
            </w:r>
            <w:proofErr w:type="spellEnd"/>
            <w:r w:rsidRPr="006842D5">
              <w:rPr>
                <w:rFonts w:ascii="Times New Roman" w:eastAsia="맑은 고딕" w:hAnsi="Times New Roman" w:cs="Times New Roman"/>
                <w:sz w:val="21"/>
                <w:szCs w:val="21"/>
              </w:rPr>
              <w:t xml:space="preserve"> Child Health. 2014; 18(2): 186-95. </w:t>
            </w:r>
          </w:p>
        </w:tc>
        <w:tc>
          <w:tcPr>
            <w:tcW w:w="6143" w:type="dxa"/>
            <w:tcBorders>
              <w:top w:val="single" w:sz="4" w:space="0" w:color="auto"/>
            </w:tcBorders>
            <w:vAlign w:val="center"/>
          </w:tcPr>
          <w:p w14:paraId="3CBA3CEA" w14:textId="79A8B7C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Advanced maternal age (≥ 35 years) was independently associated with offspring low bone mineral density (&lt; 25th percentile), even after adjusting for sex, sedentary activities, and household income (OR 3.7, 95% CI 1.6~8.9).</w:t>
            </w:r>
          </w:p>
        </w:tc>
      </w:tr>
      <w:tr w:rsidR="006842D5" w:rsidRPr="006842D5" w14:paraId="6D8ED46C" w14:textId="77777777" w:rsidTr="00EE4C12">
        <w:tc>
          <w:tcPr>
            <w:tcW w:w="1872" w:type="dxa"/>
            <w:vAlign w:val="center"/>
          </w:tcPr>
          <w:p w14:paraId="05BFF813" w14:textId="77777777" w:rsidR="00EE4C12" w:rsidRPr="006842D5" w:rsidRDefault="00EE4C12" w:rsidP="00EE4C12">
            <w:pPr>
              <w:rPr>
                <w:rFonts w:ascii="Times New Roman" w:eastAsia="맑은 고딕" w:hAnsi="Times New Roman" w:cs="Times New Roman"/>
                <w:sz w:val="21"/>
                <w:szCs w:val="21"/>
              </w:rPr>
            </w:pPr>
          </w:p>
        </w:tc>
        <w:tc>
          <w:tcPr>
            <w:tcW w:w="2618" w:type="dxa"/>
            <w:shd w:val="clear" w:color="auto" w:fill="F2F2F2" w:themeFill="background1" w:themeFillShade="F2"/>
            <w:vAlign w:val="center"/>
          </w:tcPr>
          <w:p w14:paraId="309C9252"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Serum levels of polychlorinated biphenyls (PCBs) and organochlorine pesticides (OCPs)</w:t>
            </w:r>
          </w:p>
        </w:tc>
        <w:tc>
          <w:tcPr>
            <w:tcW w:w="1948" w:type="dxa"/>
            <w:shd w:val="clear" w:color="auto" w:fill="F2F2F2" w:themeFill="background1" w:themeFillShade="F2"/>
            <w:vAlign w:val="center"/>
          </w:tcPr>
          <w:p w14:paraId="01A62E15"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Persistent organic pollutants in blood (POPs)</w:t>
            </w:r>
          </w:p>
        </w:tc>
        <w:tc>
          <w:tcPr>
            <w:tcW w:w="2097" w:type="dxa"/>
            <w:shd w:val="clear" w:color="auto" w:fill="F2F2F2" w:themeFill="background1" w:themeFillShade="F2"/>
            <w:vAlign w:val="center"/>
          </w:tcPr>
          <w:p w14:paraId="5F428A62" w14:textId="0FBF3486"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Environ Sci </w:t>
            </w:r>
            <w:proofErr w:type="spellStart"/>
            <w:r w:rsidRPr="006842D5">
              <w:rPr>
                <w:rFonts w:ascii="Times New Roman" w:eastAsia="맑은 고딕" w:hAnsi="Times New Roman" w:cs="Times New Roman"/>
                <w:sz w:val="21"/>
                <w:szCs w:val="21"/>
              </w:rPr>
              <w:t>Pollut</w:t>
            </w:r>
            <w:proofErr w:type="spellEnd"/>
            <w:r w:rsidRPr="006842D5">
              <w:rPr>
                <w:rFonts w:ascii="Times New Roman" w:eastAsia="맑은 고딕" w:hAnsi="Times New Roman" w:cs="Times New Roman"/>
                <w:sz w:val="21"/>
                <w:szCs w:val="21"/>
              </w:rPr>
              <w:t xml:space="preserve"> Res Int. 2016; 23(4): 3536-47. </w:t>
            </w:r>
          </w:p>
        </w:tc>
        <w:tc>
          <w:tcPr>
            <w:tcW w:w="6143" w:type="dxa"/>
            <w:shd w:val="clear" w:color="auto" w:fill="F2F2F2" w:themeFill="background1" w:themeFillShade="F2"/>
            <w:vAlign w:val="center"/>
          </w:tcPr>
          <w:p w14:paraId="16C3B8A2" w14:textId="44C7CB59"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We analyzed a total of 51 persistent organic pollutants (POPs) in children aged 7–9 years. Serum concentrations of total polychlorinated biphenyls (PCBs) increased with age, but did not vary by sex.</w:t>
            </w:r>
          </w:p>
        </w:tc>
      </w:tr>
      <w:tr w:rsidR="006842D5" w:rsidRPr="006842D5" w14:paraId="7F615970" w14:textId="77777777" w:rsidTr="00EE4C12">
        <w:tc>
          <w:tcPr>
            <w:tcW w:w="1872" w:type="dxa"/>
            <w:vAlign w:val="center"/>
          </w:tcPr>
          <w:p w14:paraId="1B782E92" w14:textId="77777777" w:rsidR="00EE4C12" w:rsidRPr="006842D5" w:rsidRDefault="00EE4C12" w:rsidP="00EE4C12">
            <w:pPr>
              <w:rPr>
                <w:rFonts w:ascii="Times New Roman" w:eastAsia="맑은 고딕" w:hAnsi="Times New Roman" w:cs="Times New Roman"/>
                <w:sz w:val="21"/>
                <w:szCs w:val="21"/>
              </w:rPr>
            </w:pPr>
          </w:p>
        </w:tc>
        <w:tc>
          <w:tcPr>
            <w:tcW w:w="2618" w:type="dxa"/>
            <w:vAlign w:val="center"/>
          </w:tcPr>
          <w:p w14:paraId="6C9F49EA"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Obesity index</w:t>
            </w:r>
          </w:p>
        </w:tc>
        <w:tc>
          <w:tcPr>
            <w:tcW w:w="1948" w:type="dxa"/>
            <w:vAlign w:val="center"/>
          </w:tcPr>
          <w:p w14:paraId="35E37CA9"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Thyroid hormones</w:t>
            </w:r>
          </w:p>
        </w:tc>
        <w:tc>
          <w:tcPr>
            <w:tcW w:w="2097" w:type="dxa"/>
            <w:vAlign w:val="center"/>
          </w:tcPr>
          <w:p w14:paraId="73323389" w14:textId="354EC243"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Korean journal of obesity. 2015; 24(4): 212-8.</w:t>
            </w:r>
          </w:p>
        </w:tc>
        <w:tc>
          <w:tcPr>
            <w:tcW w:w="6143" w:type="dxa"/>
            <w:vAlign w:val="center"/>
          </w:tcPr>
          <w:p w14:paraId="67F00E4C" w14:textId="6202058E"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Waist circumference and body mass index z scores were negatively correlated with thyroid-stimulating hormone levels (7–12 years old) after adjusting for age, sex, birthweight glucose, triglyceride and puberty status.</w:t>
            </w:r>
          </w:p>
        </w:tc>
      </w:tr>
      <w:tr w:rsidR="006842D5" w:rsidRPr="006842D5" w14:paraId="329E5992" w14:textId="77777777" w:rsidTr="00EE4C12">
        <w:tc>
          <w:tcPr>
            <w:tcW w:w="1872" w:type="dxa"/>
            <w:vAlign w:val="center"/>
          </w:tcPr>
          <w:p w14:paraId="54B12A1A" w14:textId="77777777" w:rsidR="00EE4C12" w:rsidRPr="006842D5" w:rsidRDefault="00EE4C12" w:rsidP="00EE4C12">
            <w:pPr>
              <w:rPr>
                <w:rFonts w:ascii="Times New Roman" w:eastAsia="맑은 고딕" w:hAnsi="Times New Roman" w:cs="Times New Roman"/>
                <w:sz w:val="21"/>
                <w:szCs w:val="21"/>
              </w:rPr>
            </w:pPr>
          </w:p>
        </w:tc>
        <w:tc>
          <w:tcPr>
            <w:tcW w:w="2618" w:type="dxa"/>
            <w:shd w:val="clear" w:color="auto" w:fill="F2F2F2" w:themeFill="background1" w:themeFillShade="F2"/>
            <w:vAlign w:val="center"/>
          </w:tcPr>
          <w:p w14:paraId="2BA91092"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Eating behaviors </w:t>
            </w:r>
          </w:p>
        </w:tc>
        <w:tc>
          <w:tcPr>
            <w:tcW w:w="1948" w:type="dxa"/>
            <w:shd w:val="clear" w:color="auto" w:fill="F2F2F2" w:themeFill="background1" w:themeFillShade="F2"/>
            <w:vAlign w:val="center"/>
          </w:tcPr>
          <w:p w14:paraId="0FED84D0"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Healthier dietary pattern</w:t>
            </w:r>
          </w:p>
        </w:tc>
        <w:tc>
          <w:tcPr>
            <w:tcW w:w="2097" w:type="dxa"/>
            <w:shd w:val="clear" w:color="auto" w:fill="F2F2F2" w:themeFill="background1" w:themeFillShade="F2"/>
            <w:vAlign w:val="center"/>
          </w:tcPr>
          <w:p w14:paraId="260CD5E3" w14:textId="297F460E"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Nutrients. 2016; 9(1): 4. </w:t>
            </w:r>
          </w:p>
        </w:tc>
        <w:tc>
          <w:tcPr>
            <w:tcW w:w="6143" w:type="dxa"/>
            <w:shd w:val="clear" w:color="auto" w:fill="F2F2F2" w:themeFill="background1" w:themeFillShade="F2"/>
            <w:vAlign w:val="center"/>
          </w:tcPr>
          <w:p w14:paraId="55763364" w14:textId="37F73FFF"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The dietary patterns, termed “healthy intake”, “animal food intake”, and “snack intake”, were identified at 7 years of age and were similar at 9 years of age. Changes in behaviors that improved the consumption of milk and dairy products or vegetables with every meal exhibited improved healthy intake pattern scores over 2 years.</w:t>
            </w:r>
          </w:p>
        </w:tc>
      </w:tr>
      <w:tr w:rsidR="006842D5" w:rsidRPr="006842D5" w14:paraId="63BC5A3B" w14:textId="77777777" w:rsidTr="00EE4C12">
        <w:tc>
          <w:tcPr>
            <w:tcW w:w="1872" w:type="dxa"/>
            <w:vAlign w:val="center"/>
          </w:tcPr>
          <w:p w14:paraId="7FDF127F" w14:textId="77777777" w:rsidR="00EE4C12" w:rsidRPr="006842D5" w:rsidRDefault="00EE4C12" w:rsidP="00EE4C12">
            <w:pPr>
              <w:rPr>
                <w:rFonts w:ascii="Times New Roman" w:eastAsia="맑은 고딕" w:hAnsi="Times New Roman" w:cs="Times New Roman"/>
                <w:sz w:val="21"/>
                <w:szCs w:val="21"/>
              </w:rPr>
            </w:pPr>
          </w:p>
        </w:tc>
        <w:tc>
          <w:tcPr>
            <w:tcW w:w="2618" w:type="dxa"/>
            <w:vAlign w:val="center"/>
          </w:tcPr>
          <w:p w14:paraId="2BD597E3"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Urinary bisphenol A</w:t>
            </w:r>
          </w:p>
        </w:tc>
        <w:tc>
          <w:tcPr>
            <w:tcW w:w="1948" w:type="dxa"/>
            <w:vAlign w:val="center"/>
          </w:tcPr>
          <w:p w14:paraId="3C309BC8"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Liver enzymes</w:t>
            </w:r>
          </w:p>
        </w:tc>
        <w:tc>
          <w:tcPr>
            <w:tcW w:w="2097" w:type="dxa"/>
            <w:vAlign w:val="center"/>
          </w:tcPr>
          <w:p w14:paraId="2FD529F7" w14:textId="12AF460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Environ Res. 2018; 161: 195-201.</w:t>
            </w:r>
          </w:p>
        </w:tc>
        <w:tc>
          <w:tcPr>
            <w:tcW w:w="6143" w:type="dxa"/>
            <w:vAlign w:val="center"/>
          </w:tcPr>
          <w:p w14:paraId="1FB7A832" w14:textId="05A52C74"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The urinary bisphenol A concentrations at 7–9 years, but not those at 3–5 years, were positively associated with the serum levels of liver enzymes at 10–13 years of age.</w:t>
            </w:r>
          </w:p>
        </w:tc>
      </w:tr>
      <w:tr w:rsidR="006842D5" w:rsidRPr="006842D5" w14:paraId="1E806C87" w14:textId="77777777" w:rsidTr="00EE4C12">
        <w:tc>
          <w:tcPr>
            <w:tcW w:w="1872" w:type="dxa"/>
            <w:vAlign w:val="center"/>
          </w:tcPr>
          <w:p w14:paraId="4BDE81FE" w14:textId="77777777" w:rsidR="00EE4C12" w:rsidRPr="006842D5" w:rsidRDefault="00EE4C12" w:rsidP="00EE4C12">
            <w:pPr>
              <w:rPr>
                <w:rFonts w:ascii="Times New Roman" w:eastAsia="맑은 고딕" w:hAnsi="Times New Roman" w:cs="Times New Roman"/>
                <w:sz w:val="21"/>
                <w:szCs w:val="21"/>
              </w:rPr>
            </w:pPr>
          </w:p>
        </w:tc>
        <w:tc>
          <w:tcPr>
            <w:tcW w:w="2618" w:type="dxa"/>
            <w:shd w:val="clear" w:color="auto" w:fill="F2F2F2" w:themeFill="background1" w:themeFillShade="F2"/>
            <w:vAlign w:val="center"/>
          </w:tcPr>
          <w:p w14:paraId="322DD114"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Dietary patterns</w:t>
            </w:r>
          </w:p>
        </w:tc>
        <w:tc>
          <w:tcPr>
            <w:tcW w:w="1948" w:type="dxa"/>
            <w:shd w:val="clear" w:color="auto" w:fill="F2F2F2" w:themeFill="background1" w:themeFillShade="F2"/>
            <w:vAlign w:val="center"/>
          </w:tcPr>
          <w:p w14:paraId="22BAC402"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Persistent organic pollutants in blood</w:t>
            </w:r>
          </w:p>
        </w:tc>
        <w:tc>
          <w:tcPr>
            <w:tcW w:w="2097" w:type="dxa"/>
            <w:shd w:val="clear" w:color="auto" w:fill="F2F2F2" w:themeFill="background1" w:themeFillShade="F2"/>
            <w:vAlign w:val="center"/>
          </w:tcPr>
          <w:p w14:paraId="71FE4F19" w14:textId="691E4432"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Environ </w:t>
            </w:r>
            <w:proofErr w:type="spellStart"/>
            <w:r w:rsidRPr="006842D5">
              <w:rPr>
                <w:rFonts w:ascii="Times New Roman" w:eastAsia="맑은 고딕" w:hAnsi="Times New Roman" w:cs="Times New Roman"/>
                <w:sz w:val="21"/>
                <w:szCs w:val="21"/>
              </w:rPr>
              <w:t>Pollut</w:t>
            </w:r>
            <w:proofErr w:type="spellEnd"/>
            <w:r w:rsidRPr="006842D5">
              <w:rPr>
                <w:rFonts w:ascii="Times New Roman" w:eastAsia="맑은 고딕" w:hAnsi="Times New Roman" w:cs="Times New Roman"/>
                <w:sz w:val="21"/>
                <w:szCs w:val="21"/>
              </w:rPr>
              <w:t xml:space="preserve">. 2018; 243(Pt A): 189-96. </w:t>
            </w:r>
          </w:p>
        </w:tc>
        <w:tc>
          <w:tcPr>
            <w:tcW w:w="6143" w:type="dxa"/>
            <w:shd w:val="clear" w:color="auto" w:fill="F2F2F2" w:themeFill="background1" w:themeFillShade="F2"/>
            <w:vAlign w:val="center"/>
          </w:tcPr>
          <w:p w14:paraId="442D7222"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The dioxin-like polychlorinated biphenyls (PCBs) pattern was characterized by a higher intake of yogurt, beverages, and fruit and a lower intake of grain, seaweeds, and processed meat.</w:t>
            </w:r>
          </w:p>
        </w:tc>
      </w:tr>
      <w:tr w:rsidR="006842D5" w:rsidRPr="006842D5" w14:paraId="32647AB4" w14:textId="77777777" w:rsidTr="00EE4C12">
        <w:tc>
          <w:tcPr>
            <w:tcW w:w="1872" w:type="dxa"/>
            <w:vAlign w:val="center"/>
          </w:tcPr>
          <w:p w14:paraId="3FD03948" w14:textId="77777777" w:rsidR="00EE4C12" w:rsidRPr="006842D5" w:rsidRDefault="00EE4C12" w:rsidP="00EE4C12">
            <w:pPr>
              <w:rPr>
                <w:rFonts w:ascii="Times New Roman" w:eastAsia="맑은 고딕" w:hAnsi="Times New Roman" w:cs="Times New Roman"/>
                <w:sz w:val="21"/>
                <w:szCs w:val="21"/>
              </w:rPr>
            </w:pPr>
          </w:p>
        </w:tc>
        <w:tc>
          <w:tcPr>
            <w:tcW w:w="2618" w:type="dxa"/>
            <w:vAlign w:val="center"/>
          </w:tcPr>
          <w:p w14:paraId="32324883" w14:textId="77777777" w:rsidR="00EE4C12" w:rsidRPr="006842D5" w:rsidRDefault="00EE4C12" w:rsidP="00EE4C12">
            <w:pPr>
              <w:widowControl/>
              <w:wordWrap/>
              <w:autoSpaceDE/>
              <w:autoSpaceDN/>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Sex, age and height percentiles</w:t>
            </w:r>
          </w:p>
        </w:tc>
        <w:tc>
          <w:tcPr>
            <w:tcW w:w="1948" w:type="dxa"/>
            <w:vAlign w:val="center"/>
          </w:tcPr>
          <w:p w14:paraId="4E149CC2"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blood pressure percentile curves (less than 10 years)</w:t>
            </w:r>
          </w:p>
        </w:tc>
        <w:tc>
          <w:tcPr>
            <w:tcW w:w="2097" w:type="dxa"/>
            <w:vAlign w:val="center"/>
          </w:tcPr>
          <w:p w14:paraId="07CEB026" w14:textId="492B2135"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J Korean Med Sci. 2020; 35(12): e91. </w:t>
            </w:r>
          </w:p>
        </w:tc>
        <w:tc>
          <w:tcPr>
            <w:tcW w:w="6143" w:type="dxa"/>
            <w:vAlign w:val="center"/>
          </w:tcPr>
          <w:p w14:paraId="1F4843F9"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We developed sex-, age-, and height-specific blood pressure reference values for non-overweight children aged 3–9 years.</w:t>
            </w:r>
          </w:p>
        </w:tc>
      </w:tr>
      <w:tr w:rsidR="006842D5" w:rsidRPr="006842D5" w14:paraId="2E0B5B14" w14:textId="77777777" w:rsidTr="00EE4C12">
        <w:tc>
          <w:tcPr>
            <w:tcW w:w="1872" w:type="dxa"/>
            <w:vAlign w:val="center"/>
          </w:tcPr>
          <w:p w14:paraId="53C41DA9" w14:textId="77777777" w:rsidR="00EE4C12" w:rsidRPr="006842D5" w:rsidRDefault="00EE4C12" w:rsidP="00EE4C12">
            <w:pPr>
              <w:rPr>
                <w:rFonts w:ascii="Times New Roman" w:eastAsia="맑은 고딕" w:hAnsi="Times New Roman" w:cs="Times New Roman"/>
                <w:sz w:val="21"/>
                <w:szCs w:val="21"/>
              </w:rPr>
            </w:pPr>
          </w:p>
        </w:tc>
        <w:tc>
          <w:tcPr>
            <w:tcW w:w="2618" w:type="dxa"/>
            <w:shd w:val="clear" w:color="auto" w:fill="F2F2F2" w:themeFill="background1" w:themeFillShade="F2"/>
            <w:vAlign w:val="center"/>
          </w:tcPr>
          <w:p w14:paraId="25B2C72B"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Secondhand smoking</w:t>
            </w:r>
          </w:p>
        </w:tc>
        <w:tc>
          <w:tcPr>
            <w:tcW w:w="1948" w:type="dxa"/>
            <w:shd w:val="clear" w:color="auto" w:fill="F2F2F2" w:themeFill="background1" w:themeFillShade="F2"/>
            <w:vAlign w:val="center"/>
          </w:tcPr>
          <w:p w14:paraId="568F903D"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Behavioral problems</w:t>
            </w:r>
          </w:p>
        </w:tc>
        <w:tc>
          <w:tcPr>
            <w:tcW w:w="2097" w:type="dxa"/>
            <w:shd w:val="clear" w:color="auto" w:fill="F2F2F2" w:themeFill="background1" w:themeFillShade="F2"/>
            <w:vAlign w:val="center"/>
          </w:tcPr>
          <w:p w14:paraId="5C9D6946" w14:textId="16A5CF70"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Sci Total Environ. 2020; 746: 141327. </w:t>
            </w:r>
          </w:p>
        </w:tc>
        <w:tc>
          <w:tcPr>
            <w:tcW w:w="6143" w:type="dxa"/>
            <w:shd w:val="clear" w:color="auto" w:fill="F2F2F2" w:themeFill="background1" w:themeFillShade="F2"/>
            <w:vAlign w:val="center"/>
          </w:tcPr>
          <w:p w14:paraId="1DDC789A" w14:textId="7C5A8B5B"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The group with higher levels of cotinine at 5 years of age showed continuously higher total and external behavioral problem scores from ages 5–9. </w:t>
            </w:r>
          </w:p>
        </w:tc>
      </w:tr>
      <w:tr w:rsidR="006842D5" w:rsidRPr="006842D5" w14:paraId="28DF90D6" w14:textId="77777777" w:rsidTr="00EE4C12">
        <w:tc>
          <w:tcPr>
            <w:tcW w:w="1872" w:type="dxa"/>
            <w:vAlign w:val="center"/>
          </w:tcPr>
          <w:p w14:paraId="04B1CB69" w14:textId="77777777" w:rsidR="00EE4C12" w:rsidRPr="006842D5" w:rsidRDefault="00EE4C12" w:rsidP="00EE4C12">
            <w:pPr>
              <w:rPr>
                <w:rFonts w:ascii="Times New Roman" w:eastAsia="맑은 고딕" w:hAnsi="Times New Roman" w:cs="Times New Roman"/>
                <w:sz w:val="21"/>
                <w:szCs w:val="21"/>
              </w:rPr>
            </w:pPr>
          </w:p>
        </w:tc>
        <w:tc>
          <w:tcPr>
            <w:tcW w:w="2618" w:type="dxa"/>
            <w:vAlign w:val="center"/>
          </w:tcPr>
          <w:p w14:paraId="33D53703"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Age</w:t>
            </w:r>
          </w:p>
        </w:tc>
        <w:tc>
          <w:tcPr>
            <w:tcW w:w="1948" w:type="dxa"/>
            <w:vAlign w:val="center"/>
          </w:tcPr>
          <w:p w14:paraId="15AC4CF4" w14:textId="77777777" w:rsidR="00EE4C12" w:rsidRPr="006842D5" w:rsidRDefault="00EE4C12" w:rsidP="00EE4C12">
            <w:pPr>
              <w:jc w:val="left"/>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Trajectory model of blood pressure</w:t>
            </w:r>
          </w:p>
        </w:tc>
        <w:tc>
          <w:tcPr>
            <w:tcW w:w="2097" w:type="dxa"/>
            <w:vAlign w:val="center"/>
          </w:tcPr>
          <w:p w14:paraId="0E10DE79" w14:textId="7213C5B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 xml:space="preserve">Clin </w:t>
            </w:r>
            <w:proofErr w:type="spellStart"/>
            <w:r w:rsidRPr="006842D5">
              <w:rPr>
                <w:rFonts w:ascii="Times New Roman" w:eastAsia="맑은 고딕" w:hAnsi="Times New Roman" w:cs="Times New Roman"/>
                <w:sz w:val="21"/>
                <w:szCs w:val="21"/>
              </w:rPr>
              <w:t>Hypertens</w:t>
            </w:r>
            <w:proofErr w:type="spellEnd"/>
            <w:r w:rsidRPr="006842D5">
              <w:rPr>
                <w:rFonts w:ascii="Times New Roman" w:eastAsia="맑은 고딕" w:hAnsi="Times New Roman" w:cs="Times New Roman"/>
                <w:sz w:val="21"/>
                <w:szCs w:val="21"/>
              </w:rPr>
              <w:t xml:space="preserve">. 2020; 26: 2. </w:t>
            </w:r>
          </w:p>
        </w:tc>
        <w:tc>
          <w:tcPr>
            <w:tcW w:w="6143" w:type="dxa"/>
            <w:vAlign w:val="center"/>
          </w:tcPr>
          <w:p w14:paraId="3833736B" w14:textId="77777777" w:rsidR="00EE4C12" w:rsidRPr="006842D5" w:rsidRDefault="00EE4C12" w:rsidP="00EE4C12">
            <w:pPr>
              <w:rPr>
                <w:rFonts w:ascii="Times New Roman" w:eastAsia="맑은 고딕" w:hAnsi="Times New Roman" w:cs="Times New Roman"/>
                <w:sz w:val="21"/>
                <w:szCs w:val="21"/>
              </w:rPr>
            </w:pPr>
            <w:r w:rsidRPr="006842D5">
              <w:rPr>
                <w:rFonts w:ascii="Times New Roman" w:eastAsia="맑은 고딕" w:hAnsi="Times New Roman" w:cs="Times New Roman"/>
                <w:sz w:val="21"/>
                <w:szCs w:val="21"/>
              </w:rPr>
              <w:t>A trajectory model of blood pressure was identified using repeated data from the age of 3 to 10</w:t>
            </w:r>
            <w:r w:rsidRPr="006842D5">
              <w:rPr>
                <w:rFonts w:ascii="Times New Roman" w:eastAsia="MS Gothic" w:hAnsi="Times New Roman" w:cs="Times New Roman"/>
                <w:sz w:val="21"/>
                <w:szCs w:val="21"/>
              </w:rPr>
              <w:t> </w:t>
            </w:r>
            <w:r w:rsidRPr="006842D5">
              <w:rPr>
                <w:rFonts w:ascii="Times New Roman" w:eastAsia="맑은 고딕" w:hAnsi="Times New Roman" w:cs="Times New Roman"/>
                <w:sz w:val="21"/>
                <w:szCs w:val="21"/>
              </w:rPr>
              <w:t>years.</w:t>
            </w:r>
          </w:p>
        </w:tc>
      </w:tr>
    </w:tbl>
    <w:p w14:paraId="23C427BA" w14:textId="77777777" w:rsidR="00145D74" w:rsidRPr="006842D5" w:rsidRDefault="00145D74" w:rsidP="00005AB1">
      <w:pPr>
        <w:spacing w:after="0" w:line="480" w:lineRule="auto"/>
        <w:rPr>
          <w:rFonts w:ascii="Times New Roman" w:eastAsia="맑은 고딕" w:hAnsi="Times New Roman" w:cs="Times New Roman"/>
          <w:sz w:val="24"/>
          <w:szCs w:val="24"/>
        </w:rPr>
      </w:pPr>
    </w:p>
    <w:p w14:paraId="7624EE06" w14:textId="353ED0BC" w:rsidR="0036441C" w:rsidRPr="006842D5" w:rsidRDefault="0036441C" w:rsidP="0036441C">
      <w:pPr>
        <w:spacing w:after="0" w:line="360" w:lineRule="auto"/>
        <w:rPr>
          <w:rFonts w:ascii="Times New Roman" w:eastAsia="맑은 고딕" w:hAnsi="Times New Roman" w:cs="Times New Roman"/>
          <w:sz w:val="22"/>
        </w:rPr>
      </w:pPr>
    </w:p>
    <w:sectPr w:rsidR="0036441C" w:rsidRPr="006842D5" w:rsidSect="00B7034D">
      <w:headerReference w:type="default" r:id="rId9"/>
      <w:footerReference w:type="default" r:id="rId10"/>
      <w:pgSz w:w="16838" w:h="11906" w:orient="landscape"/>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A149D" w14:textId="77777777" w:rsidR="00097F1B" w:rsidRDefault="00097F1B" w:rsidP="002E4D43">
      <w:pPr>
        <w:spacing w:after="0" w:line="240" w:lineRule="auto"/>
      </w:pPr>
      <w:r>
        <w:separator/>
      </w:r>
    </w:p>
  </w:endnote>
  <w:endnote w:type="continuationSeparator" w:id="0">
    <w:p w14:paraId="601160CD" w14:textId="77777777" w:rsidR="00097F1B" w:rsidRDefault="00097F1B" w:rsidP="002E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National Bold">
    <w:altName w:val="Arial Unicode MS"/>
    <w:panose1 w:val="00000000000000000000"/>
    <w:charset w:val="81"/>
    <w:family w:val="swiss"/>
    <w:notTrueType/>
    <w:pitch w:val="default"/>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290795"/>
      <w:docPartObj>
        <w:docPartGallery w:val="Page Numbers (Bottom of Page)"/>
        <w:docPartUnique/>
      </w:docPartObj>
    </w:sdtPr>
    <w:sdtEndPr/>
    <w:sdtContent>
      <w:p w14:paraId="0C80D58E" w14:textId="6C34C1CC" w:rsidR="005F1769" w:rsidRDefault="005F1769" w:rsidP="00005AB1">
        <w:pPr>
          <w:pStyle w:val="a9"/>
          <w:spacing w:after="0" w:line="240" w:lineRule="auto"/>
          <w:jc w:val="center"/>
        </w:pPr>
        <w:r>
          <w:fldChar w:fldCharType="begin"/>
        </w:r>
        <w:r>
          <w:instrText>PAGE   \* MERGEFORMAT</w:instrText>
        </w:r>
        <w:r>
          <w:fldChar w:fldCharType="separate"/>
        </w:r>
        <w:r w:rsidR="006130CF" w:rsidRPr="006130CF">
          <w:rPr>
            <w:noProof/>
            <w:lang w:val="ko-KR"/>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9DAA" w14:textId="77777777" w:rsidR="00097F1B" w:rsidRDefault="00097F1B" w:rsidP="002E4D43">
      <w:pPr>
        <w:spacing w:after="0" w:line="240" w:lineRule="auto"/>
      </w:pPr>
      <w:r>
        <w:separator/>
      </w:r>
    </w:p>
  </w:footnote>
  <w:footnote w:type="continuationSeparator" w:id="0">
    <w:p w14:paraId="19D3FB70" w14:textId="77777777" w:rsidR="00097F1B" w:rsidRDefault="00097F1B" w:rsidP="002E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0C9A" w14:textId="28676A80" w:rsidR="005E2FCC" w:rsidRDefault="005E2FCC" w:rsidP="005E2FCC">
    <w:pPr>
      <w:pStyle w:val="a8"/>
    </w:pPr>
    <w:r>
      <w:t xml:space="preserve">Volume: 43, Article ID: e2021016 </w:t>
    </w:r>
  </w:p>
  <w:p w14:paraId="61217B9B" w14:textId="48E3FC1D" w:rsidR="005E2FCC" w:rsidRDefault="005E2FCC" w:rsidP="005E2FCC">
    <w:pPr>
      <w:pStyle w:val="a8"/>
    </w:pPr>
    <w:r>
      <w:t>https://doi.org/10.4178/epih.e2021016</w:t>
    </w:r>
    <w:r>
      <w:cr/>
    </w:r>
  </w:p>
  <w:p w14:paraId="4CC5ECA6" w14:textId="77777777" w:rsidR="005F1769" w:rsidRDefault="005F1769" w:rsidP="00005AB1">
    <w:pPr>
      <w:pStyle w:val="a8"/>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179"/>
    <w:multiLevelType w:val="hybridMultilevel"/>
    <w:tmpl w:val="28268CCC"/>
    <w:lvl w:ilvl="0" w:tplc="951035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C0818E0"/>
    <w:multiLevelType w:val="hybridMultilevel"/>
    <w:tmpl w:val="4B1008A6"/>
    <w:lvl w:ilvl="0" w:tplc="7B9235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1CB31EE"/>
    <w:multiLevelType w:val="hybridMultilevel"/>
    <w:tmpl w:val="4B1008A6"/>
    <w:lvl w:ilvl="0" w:tplc="7B9235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6"/>
    <w:rsid w:val="000007DA"/>
    <w:rsid w:val="00005AB1"/>
    <w:rsid w:val="00015C6F"/>
    <w:rsid w:val="00015D15"/>
    <w:rsid w:val="00022192"/>
    <w:rsid w:val="00024C87"/>
    <w:rsid w:val="000266CE"/>
    <w:rsid w:val="00034C0E"/>
    <w:rsid w:val="00037B49"/>
    <w:rsid w:val="0004119C"/>
    <w:rsid w:val="00050363"/>
    <w:rsid w:val="00050390"/>
    <w:rsid w:val="00050A6F"/>
    <w:rsid w:val="0005172D"/>
    <w:rsid w:val="000530CD"/>
    <w:rsid w:val="00053321"/>
    <w:rsid w:val="000535E1"/>
    <w:rsid w:val="00063182"/>
    <w:rsid w:val="000642BB"/>
    <w:rsid w:val="0006539B"/>
    <w:rsid w:val="00066FDA"/>
    <w:rsid w:val="000738DE"/>
    <w:rsid w:val="000746A7"/>
    <w:rsid w:val="0007770C"/>
    <w:rsid w:val="000807F1"/>
    <w:rsid w:val="000870C3"/>
    <w:rsid w:val="000957FB"/>
    <w:rsid w:val="00097F1B"/>
    <w:rsid w:val="000A06BD"/>
    <w:rsid w:val="000A4E0D"/>
    <w:rsid w:val="000A52AB"/>
    <w:rsid w:val="000A5832"/>
    <w:rsid w:val="000A6FD8"/>
    <w:rsid w:val="000B1FC4"/>
    <w:rsid w:val="000B2152"/>
    <w:rsid w:val="000B2352"/>
    <w:rsid w:val="000B27DD"/>
    <w:rsid w:val="000B4654"/>
    <w:rsid w:val="000B7D08"/>
    <w:rsid w:val="000D0058"/>
    <w:rsid w:val="000D09F1"/>
    <w:rsid w:val="000D2D1D"/>
    <w:rsid w:val="000D3CF1"/>
    <w:rsid w:val="000D6DEC"/>
    <w:rsid w:val="000D7F14"/>
    <w:rsid w:val="000E6226"/>
    <w:rsid w:val="000F04DC"/>
    <w:rsid w:val="000F48D1"/>
    <w:rsid w:val="000F754A"/>
    <w:rsid w:val="00101674"/>
    <w:rsid w:val="00101E13"/>
    <w:rsid w:val="0010357E"/>
    <w:rsid w:val="00112FB0"/>
    <w:rsid w:val="0011306D"/>
    <w:rsid w:val="00116F4D"/>
    <w:rsid w:val="001239FF"/>
    <w:rsid w:val="00126165"/>
    <w:rsid w:val="00132911"/>
    <w:rsid w:val="00135D5B"/>
    <w:rsid w:val="00136C0F"/>
    <w:rsid w:val="001411C9"/>
    <w:rsid w:val="00142D01"/>
    <w:rsid w:val="00145D74"/>
    <w:rsid w:val="001465D1"/>
    <w:rsid w:val="001507C9"/>
    <w:rsid w:val="0015583B"/>
    <w:rsid w:val="00161C84"/>
    <w:rsid w:val="00162725"/>
    <w:rsid w:val="00166E99"/>
    <w:rsid w:val="001672EF"/>
    <w:rsid w:val="00176830"/>
    <w:rsid w:val="00177DBC"/>
    <w:rsid w:val="001828AF"/>
    <w:rsid w:val="001869D6"/>
    <w:rsid w:val="001871AB"/>
    <w:rsid w:val="0019590E"/>
    <w:rsid w:val="001A189A"/>
    <w:rsid w:val="001B21F8"/>
    <w:rsid w:val="001B6573"/>
    <w:rsid w:val="001B7775"/>
    <w:rsid w:val="001C1607"/>
    <w:rsid w:val="001D2FF6"/>
    <w:rsid w:val="001D6BBE"/>
    <w:rsid w:val="001E3DFF"/>
    <w:rsid w:val="001E6C57"/>
    <w:rsid w:val="002141D7"/>
    <w:rsid w:val="00215692"/>
    <w:rsid w:val="0021682E"/>
    <w:rsid w:val="00217B9A"/>
    <w:rsid w:val="002251EF"/>
    <w:rsid w:val="002259AB"/>
    <w:rsid w:val="00232C7B"/>
    <w:rsid w:val="00235B60"/>
    <w:rsid w:val="00244F1E"/>
    <w:rsid w:val="00245C5C"/>
    <w:rsid w:val="00253990"/>
    <w:rsid w:val="0026406D"/>
    <w:rsid w:val="00266785"/>
    <w:rsid w:val="00266D72"/>
    <w:rsid w:val="002701BB"/>
    <w:rsid w:val="00272AC6"/>
    <w:rsid w:val="00274C0F"/>
    <w:rsid w:val="002810EE"/>
    <w:rsid w:val="00284809"/>
    <w:rsid w:val="00285E2F"/>
    <w:rsid w:val="002867AB"/>
    <w:rsid w:val="0029057C"/>
    <w:rsid w:val="00292BF8"/>
    <w:rsid w:val="002A27FD"/>
    <w:rsid w:val="002B0D5C"/>
    <w:rsid w:val="002B0E13"/>
    <w:rsid w:val="002B19A7"/>
    <w:rsid w:val="002B1EE1"/>
    <w:rsid w:val="002B2A41"/>
    <w:rsid w:val="002B2C4C"/>
    <w:rsid w:val="002B4FFF"/>
    <w:rsid w:val="002B7664"/>
    <w:rsid w:val="002C3736"/>
    <w:rsid w:val="002C4A37"/>
    <w:rsid w:val="002C6E7B"/>
    <w:rsid w:val="002E4789"/>
    <w:rsid w:val="002E4D43"/>
    <w:rsid w:val="002E7031"/>
    <w:rsid w:val="002F64C3"/>
    <w:rsid w:val="00305C7B"/>
    <w:rsid w:val="0031073A"/>
    <w:rsid w:val="00312B81"/>
    <w:rsid w:val="003201E2"/>
    <w:rsid w:val="00323AC3"/>
    <w:rsid w:val="00323C08"/>
    <w:rsid w:val="00323F80"/>
    <w:rsid w:val="00331D49"/>
    <w:rsid w:val="0033396E"/>
    <w:rsid w:val="0033731F"/>
    <w:rsid w:val="00351EDE"/>
    <w:rsid w:val="00357216"/>
    <w:rsid w:val="0036071D"/>
    <w:rsid w:val="00361458"/>
    <w:rsid w:val="0036441C"/>
    <w:rsid w:val="0036579B"/>
    <w:rsid w:val="0036751E"/>
    <w:rsid w:val="00373A1F"/>
    <w:rsid w:val="00375D75"/>
    <w:rsid w:val="003807BF"/>
    <w:rsid w:val="0038548B"/>
    <w:rsid w:val="00385DE2"/>
    <w:rsid w:val="003915D8"/>
    <w:rsid w:val="003936FB"/>
    <w:rsid w:val="003950AC"/>
    <w:rsid w:val="003A0927"/>
    <w:rsid w:val="003A2922"/>
    <w:rsid w:val="003A4171"/>
    <w:rsid w:val="003A653E"/>
    <w:rsid w:val="003A7302"/>
    <w:rsid w:val="003C1715"/>
    <w:rsid w:val="003C190F"/>
    <w:rsid w:val="003D025D"/>
    <w:rsid w:val="003D23BB"/>
    <w:rsid w:val="003D3B9B"/>
    <w:rsid w:val="003E748D"/>
    <w:rsid w:val="003F0717"/>
    <w:rsid w:val="003F0C32"/>
    <w:rsid w:val="003F323C"/>
    <w:rsid w:val="003F5622"/>
    <w:rsid w:val="003F6B10"/>
    <w:rsid w:val="003F7591"/>
    <w:rsid w:val="00401141"/>
    <w:rsid w:val="004021B9"/>
    <w:rsid w:val="0040221A"/>
    <w:rsid w:val="00404BF2"/>
    <w:rsid w:val="00413EF5"/>
    <w:rsid w:val="004158AC"/>
    <w:rsid w:val="0042636D"/>
    <w:rsid w:val="004265E7"/>
    <w:rsid w:val="0043171E"/>
    <w:rsid w:val="004351D0"/>
    <w:rsid w:val="004408B0"/>
    <w:rsid w:val="00443E66"/>
    <w:rsid w:val="00444428"/>
    <w:rsid w:val="00445170"/>
    <w:rsid w:val="00446FED"/>
    <w:rsid w:val="00447DDB"/>
    <w:rsid w:val="0045340A"/>
    <w:rsid w:val="00456842"/>
    <w:rsid w:val="00456E49"/>
    <w:rsid w:val="0045767B"/>
    <w:rsid w:val="00460B2C"/>
    <w:rsid w:val="004640A6"/>
    <w:rsid w:val="00467448"/>
    <w:rsid w:val="0047229F"/>
    <w:rsid w:val="004763B5"/>
    <w:rsid w:val="004778B4"/>
    <w:rsid w:val="004844A5"/>
    <w:rsid w:val="004877CE"/>
    <w:rsid w:val="004971FE"/>
    <w:rsid w:val="004A0B31"/>
    <w:rsid w:val="004A1495"/>
    <w:rsid w:val="004A7069"/>
    <w:rsid w:val="004A70D9"/>
    <w:rsid w:val="004B15C6"/>
    <w:rsid w:val="004B2859"/>
    <w:rsid w:val="004B545B"/>
    <w:rsid w:val="004B7287"/>
    <w:rsid w:val="004C04B2"/>
    <w:rsid w:val="004C0F0B"/>
    <w:rsid w:val="004C4C6F"/>
    <w:rsid w:val="004D0956"/>
    <w:rsid w:val="004D141F"/>
    <w:rsid w:val="004D3DAE"/>
    <w:rsid w:val="004D3E13"/>
    <w:rsid w:val="004D7496"/>
    <w:rsid w:val="004E137D"/>
    <w:rsid w:val="004E2EF5"/>
    <w:rsid w:val="004E42AB"/>
    <w:rsid w:val="004F1036"/>
    <w:rsid w:val="004F2B7F"/>
    <w:rsid w:val="004F4A60"/>
    <w:rsid w:val="0050574D"/>
    <w:rsid w:val="00506664"/>
    <w:rsid w:val="005141C1"/>
    <w:rsid w:val="005165C5"/>
    <w:rsid w:val="0052709E"/>
    <w:rsid w:val="0053579A"/>
    <w:rsid w:val="00540A0B"/>
    <w:rsid w:val="00543578"/>
    <w:rsid w:val="00544872"/>
    <w:rsid w:val="00544E0A"/>
    <w:rsid w:val="005452EF"/>
    <w:rsid w:val="005561C0"/>
    <w:rsid w:val="00556607"/>
    <w:rsid w:val="00561F69"/>
    <w:rsid w:val="005636ED"/>
    <w:rsid w:val="00572536"/>
    <w:rsid w:val="00577756"/>
    <w:rsid w:val="005829E0"/>
    <w:rsid w:val="00594A80"/>
    <w:rsid w:val="005A249D"/>
    <w:rsid w:val="005A3C64"/>
    <w:rsid w:val="005A3F60"/>
    <w:rsid w:val="005A4207"/>
    <w:rsid w:val="005A7750"/>
    <w:rsid w:val="005A77C2"/>
    <w:rsid w:val="005B0022"/>
    <w:rsid w:val="005B1C23"/>
    <w:rsid w:val="005C0FF5"/>
    <w:rsid w:val="005C14CC"/>
    <w:rsid w:val="005C21F6"/>
    <w:rsid w:val="005C2553"/>
    <w:rsid w:val="005C490B"/>
    <w:rsid w:val="005C7196"/>
    <w:rsid w:val="005D12A8"/>
    <w:rsid w:val="005D3955"/>
    <w:rsid w:val="005D6BEF"/>
    <w:rsid w:val="005D7C98"/>
    <w:rsid w:val="005E0366"/>
    <w:rsid w:val="005E2FCC"/>
    <w:rsid w:val="005E7601"/>
    <w:rsid w:val="005F1769"/>
    <w:rsid w:val="005F2B9A"/>
    <w:rsid w:val="005F2DC0"/>
    <w:rsid w:val="005F3892"/>
    <w:rsid w:val="005F3A66"/>
    <w:rsid w:val="00610C76"/>
    <w:rsid w:val="006130CF"/>
    <w:rsid w:val="00613312"/>
    <w:rsid w:val="00615998"/>
    <w:rsid w:val="00621A72"/>
    <w:rsid w:val="00622A57"/>
    <w:rsid w:val="006247F0"/>
    <w:rsid w:val="00626336"/>
    <w:rsid w:val="0062680C"/>
    <w:rsid w:val="006303C8"/>
    <w:rsid w:val="00631895"/>
    <w:rsid w:val="00647181"/>
    <w:rsid w:val="00651E22"/>
    <w:rsid w:val="00661A97"/>
    <w:rsid w:val="006640AC"/>
    <w:rsid w:val="006703F6"/>
    <w:rsid w:val="00670644"/>
    <w:rsid w:val="00670DE3"/>
    <w:rsid w:val="00674EE1"/>
    <w:rsid w:val="00675BE7"/>
    <w:rsid w:val="0067688B"/>
    <w:rsid w:val="00683C18"/>
    <w:rsid w:val="006842D5"/>
    <w:rsid w:val="00685A33"/>
    <w:rsid w:val="00686BAE"/>
    <w:rsid w:val="00686BBC"/>
    <w:rsid w:val="00687EFB"/>
    <w:rsid w:val="00690A61"/>
    <w:rsid w:val="00690BFE"/>
    <w:rsid w:val="00691823"/>
    <w:rsid w:val="0069698B"/>
    <w:rsid w:val="006A0388"/>
    <w:rsid w:val="006A113B"/>
    <w:rsid w:val="006A4751"/>
    <w:rsid w:val="006A710D"/>
    <w:rsid w:val="006A712F"/>
    <w:rsid w:val="006C076F"/>
    <w:rsid w:val="006C3F82"/>
    <w:rsid w:val="006C6701"/>
    <w:rsid w:val="006D59D8"/>
    <w:rsid w:val="006D6619"/>
    <w:rsid w:val="006D68FF"/>
    <w:rsid w:val="006E07D0"/>
    <w:rsid w:val="006E2298"/>
    <w:rsid w:val="006E67FD"/>
    <w:rsid w:val="006F5AF1"/>
    <w:rsid w:val="006F79C6"/>
    <w:rsid w:val="00701773"/>
    <w:rsid w:val="00701B08"/>
    <w:rsid w:val="00701BC8"/>
    <w:rsid w:val="00712333"/>
    <w:rsid w:val="007143B5"/>
    <w:rsid w:val="00714B19"/>
    <w:rsid w:val="00720E77"/>
    <w:rsid w:val="00720F36"/>
    <w:rsid w:val="00723138"/>
    <w:rsid w:val="00742951"/>
    <w:rsid w:val="00743D62"/>
    <w:rsid w:val="00751B80"/>
    <w:rsid w:val="00752FEB"/>
    <w:rsid w:val="007533E8"/>
    <w:rsid w:val="00754AF3"/>
    <w:rsid w:val="00755735"/>
    <w:rsid w:val="0076259F"/>
    <w:rsid w:val="00771641"/>
    <w:rsid w:val="00775371"/>
    <w:rsid w:val="00781D80"/>
    <w:rsid w:val="00782E03"/>
    <w:rsid w:val="007854F1"/>
    <w:rsid w:val="007911FA"/>
    <w:rsid w:val="00791918"/>
    <w:rsid w:val="00792A9C"/>
    <w:rsid w:val="0079327C"/>
    <w:rsid w:val="00796166"/>
    <w:rsid w:val="007A0E60"/>
    <w:rsid w:val="007A1518"/>
    <w:rsid w:val="007A610D"/>
    <w:rsid w:val="007A744F"/>
    <w:rsid w:val="007B3647"/>
    <w:rsid w:val="007C0CCA"/>
    <w:rsid w:val="007C0EBE"/>
    <w:rsid w:val="007D23D5"/>
    <w:rsid w:val="007D30FB"/>
    <w:rsid w:val="007D5220"/>
    <w:rsid w:val="007F0C31"/>
    <w:rsid w:val="007F0D02"/>
    <w:rsid w:val="007F2283"/>
    <w:rsid w:val="007F7CB7"/>
    <w:rsid w:val="0081104C"/>
    <w:rsid w:val="00813457"/>
    <w:rsid w:val="00814102"/>
    <w:rsid w:val="00814F36"/>
    <w:rsid w:val="0081670A"/>
    <w:rsid w:val="00817E8F"/>
    <w:rsid w:val="00826095"/>
    <w:rsid w:val="0082610C"/>
    <w:rsid w:val="008362F4"/>
    <w:rsid w:val="00841523"/>
    <w:rsid w:val="00841A0D"/>
    <w:rsid w:val="00851D58"/>
    <w:rsid w:val="00853DD9"/>
    <w:rsid w:val="00860AA7"/>
    <w:rsid w:val="008641F4"/>
    <w:rsid w:val="00864633"/>
    <w:rsid w:val="0087229E"/>
    <w:rsid w:val="00875218"/>
    <w:rsid w:val="00875461"/>
    <w:rsid w:val="00876AAD"/>
    <w:rsid w:val="00881F02"/>
    <w:rsid w:val="0089361F"/>
    <w:rsid w:val="00894EB6"/>
    <w:rsid w:val="008A0B66"/>
    <w:rsid w:val="008A5484"/>
    <w:rsid w:val="008A5ED3"/>
    <w:rsid w:val="008A612D"/>
    <w:rsid w:val="008B24C5"/>
    <w:rsid w:val="008B28FE"/>
    <w:rsid w:val="008B7F11"/>
    <w:rsid w:val="008C3856"/>
    <w:rsid w:val="008C3952"/>
    <w:rsid w:val="008C3D1E"/>
    <w:rsid w:val="008C54E6"/>
    <w:rsid w:val="008D3501"/>
    <w:rsid w:val="008D5D26"/>
    <w:rsid w:val="008E6C38"/>
    <w:rsid w:val="008E71CD"/>
    <w:rsid w:val="0090105F"/>
    <w:rsid w:val="00904C9E"/>
    <w:rsid w:val="00905100"/>
    <w:rsid w:val="00905C3B"/>
    <w:rsid w:val="00906EB3"/>
    <w:rsid w:val="00912BFD"/>
    <w:rsid w:val="00914E4A"/>
    <w:rsid w:val="0091592F"/>
    <w:rsid w:val="009176E8"/>
    <w:rsid w:val="0092019C"/>
    <w:rsid w:val="009272FB"/>
    <w:rsid w:val="009320F5"/>
    <w:rsid w:val="00932B8B"/>
    <w:rsid w:val="00936098"/>
    <w:rsid w:val="009418C1"/>
    <w:rsid w:val="009434AC"/>
    <w:rsid w:val="009442BB"/>
    <w:rsid w:val="0094605A"/>
    <w:rsid w:val="00946A44"/>
    <w:rsid w:val="00957A01"/>
    <w:rsid w:val="00962753"/>
    <w:rsid w:val="0096334D"/>
    <w:rsid w:val="009640FD"/>
    <w:rsid w:val="00964CBA"/>
    <w:rsid w:val="00966018"/>
    <w:rsid w:val="0096722F"/>
    <w:rsid w:val="00971FB4"/>
    <w:rsid w:val="0097428E"/>
    <w:rsid w:val="009745C4"/>
    <w:rsid w:val="00976A47"/>
    <w:rsid w:val="009801E3"/>
    <w:rsid w:val="00987F51"/>
    <w:rsid w:val="0099121C"/>
    <w:rsid w:val="009932D5"/>
    <w:rsid w:val="009A0B2D"/>
    <w:rsid w:val="009A38E8"/>
    <w:rsid w:val="009A583D"/>
    <w:rsid w:val="009A649D"/>
    <w:rsid w:val="009A7755"/>
    <w:rsid w:val="009B0685"/>
    <w:rsid w:val="009B4E10"/>
    <w:rsid w:val="009B685B"/>
    <w:rsid w:val="009C6738"/>
    <w:rsid w:val="009C73DA"/>
    <w:rsid w:val="009D1838"/>
    <w:rsid w:val="009D72D4"/>
    <w:rsid w:val="009F35E0"/>
    <w:rsid w:val="009F6543"/>
    <w:rsid w:val="009F699C"/>
    <w:rsid w:val="00A00A68"/>
    <w:rsid w:val="00A05E06"/>
    <w:rsid w:val="00A076C9"/>
    <w:rsid w:val="00A132C8"/>
    <w:rsid w:val="00A13BB5"/>
    <w:rsid w:val="00A14438"/>
    <w:rsid w:val="00A16AE0"/>
    <w:rsid w:val="00A17C04"/>
    <w:rsid w:val="00A20255"/>
    <w:rsid w:val="00A2193F"/>
    <w:rsid w:val="00A344E0"/>
    <w:rsid w:val="00A3637E"/>
    <w:rsid w:val="00A37770"/>
    <w:rsid w:val="00A47350"/>
    <w:rsid w:val="00A50531"/>
    <w:rsid w:val="00A50867"/>
    <w:rsid w:val="00A50928"/>
    <w:rsid w:val="00A51688"/>
    <w:rsid w:val="00A52256"/>
    <w:rsid w:val="00A552F1"/>
    <w:rsid w:val="00A60ACF"/>
    <w:rsid w:val="00A625E3"/>
    <w:rsid w:val="00A63099"/>
    <w:rsid w:val="00A633C9"/>
    <w:rsid w:val="00A65F8B"/>
    <w:rsid w:val="00A670EF"/>
    <w:rsid w:val="00A734E6"/>
    <w:rsid w:val="00A77FA9"/>
    <w:rsid w:val="00A82817"/>
    <w:rsid w:val="00A87283"/>
    <w:rsid w:val="00A900EC"/>
    <w:rsid w:val="00A91821"/>
    <w:rsid w:val="00A95205"/>
    <w:rsid w:val="00A96E13"/>
    <w:rsid w:val="00AA0986"/>
    <w:rsid w:val="00AA098C"/>
    <w:rsid w:val="00AA1A11"/>
    <w:rsid w:val="00AA5438"/>
    <w:rsid w:val="00AA7F08"/>
    <w:rsid w:val="00AB2B8F"/>
    <w:rsid w:val="00AB3A7D"/>
    <w:rsid w:val="00AC028F"/>
    <w:rsid w:val="00AC46DC"/>
    <w:rsid w:val="00AC4C9F"/>
    <w:rsid w:val="00AD23B8"/>
    <w:rsid w:val="00AE1572"/>
    <w:rsid w:val="00AE2B9B"/>
    <w:rsid w:val="00AE7379"/>
    <w:rsid w:val="00AF4241"/>
    <w:rsid w:val="00B03F11"/>
    <w:rsid w:val="00B06C21"/>
    <w:rsid w:val="00B1048B"/>
    <w:rsid w:val="00B10F0B"/>
    <w:rsid w:val="00B1163E"/>
    <w:rsid w:val="00B11E7B"/>
    <w:rsid w:val="00B2380C"/>
    <w:rsid w:val="00B24777"/>
    <w:rsid w:val="00B40C3F"/>
    <w:rsid w:val="00B47026"/>
    <w:rsid w:val="00B502DB"/>
    <w:rsid w:val="00B53571"/>
    <w:rsid w:val="00B60432"/>
    <w:rsid w:val="00B66224"/>
    <w:rsid w:val="00B668F6"/>
    <w:rsid w:val="00B7034D"/>
    <w:rsid w:val="00B75019"/>
    <w:rsid w:val="00B76691"/>
    <w:rsid w:val="00B775A2"/>
    <w:rsid w:val="00B85D2B"/>
    <w:rsid w:val="00B8683F"/>
    <w:rsid w:val="00B91CEA"/>
    <w:rsid w:val="00B928FB"/>
    <w:rsid w:val="00B97F58"/>
    <w:rsid w:val="00BA3046"/>
    <w:rsid w:val="00BA71E1"/>
    <w:rsid w:val="00BA73FF"/>
    <w:rsid w:val="00BB3D2E"/>
    <w:rsid w:val="00BC2E23"/>
    <w:rsid w:val="00BC4903"/>
    <w:rsid w:val="00BC7ADD"/>
    <w:rsid w:val="00BC7E0B"/>
    <w:rsid w:val="00BD22E5"/>
    <w:rsid w:val="00BD619D"/>
    <w:rsid w:val="00BD69BB"/>
    <w:rsid w:val="00BE2E94"/>
    <w:rsid w:val="00BE61DA"/>
    <w:rsid w:val="00BF3938"/>
    <w:rsid w:val="00BF3D36"/>
    <w:rsid w:val="00BF4ADE"/>
    <w:rsid w:val="00BF62F4"/>
    <w:rsid w:val="00C12AF0"/>
    <w:rsid w:val="00C14F82"/>
    <w:rsid w:val="00C15CE7"/>
    <w:rsid w:val="00C25212"/>
    <w:rsid w:val="00C26270"/>
    <w:rsid w:val="00C269A5"/>
    <w:rsid w:val="00C41F78"/>
    <w:rsid w:val="00C47660"/>
    <w:rsid w:val="00C52DBD"/>
    <w:rsid w:val="00C543C0"/>
    <w:rsid w:val="00C545AA"/>
    <w:rsid w:val="00C570FA"/>
    <w:rsid w:val="00C57AE0"/>
    <w:rsid w:val="00C6157D"/>
    <w:rsid w:val="00C622A8"/>
    <w:rsid w:val="00C655E2"/>
    <w:rsid w:val="00C72761"/>
    <w:rsid w:val="00C74F34"/>
    <w:rsid w:val="00C81E4A"/>
    <w:rsid w:val="00C824BD"/>
    <w:rsid w:val="00C82888"/>
    <w:rsid w:val="00C82C4C"/>
    <w:rsid w:val="00C8761D"/>
    <w:rsid w:val="00C91614"/>
    <w:rsid w:val="00C94318"/>
    <w:rsid w:val="00CA2D78"/>
    <w:rsid w:val="00CA4526"/>
    <w:rsid w:val="00CA4EFD"/>
    <w:rsid w:val="00CB0A47"/>
    <w:rsid w:val="00CB1BA0"/>
    <w:rsid w:val="00CB4D35"/>
    <w:rsid w:val="00CC70C5"/>
    <w:rsid w:val="00CD17B9"/>
    <w:rsid w:val="00CD593A"/>
    <w:rsid w:val="00CD5A34"/>
    <w:rsid w:val="00CD70A6"/>
    <w:rsid w:val="00CE053F"/>
    <w:rsid w:val="00CE2447"/>
    <w:rsid w:val="00CE4C57"/>
    <w:rsid w:val="00CF4B0D"/>
    <w:rsid w:val="00CF4C58"/>
    <w:rsid w:val="00D05501"/>
    <w:rsid w:val="00D073BE"/>
    <w:rsid w:val="00D123AC"/>
    <w:rsid w:val="00D14194"/>
    <w:rsid w:val="00D16B56"/>
    <w:rsid w:val="00D30F94"/>
    <w:rsid w:val="00D31D0C"/>
    <w:rsid w:val="00D3263F"/>
    <w:rsid w:val="00D35C59"/>
    <w:rsid w:val="00D42AE3"/>
    <w:rsid w:val="00D4314E"/>
    <w:rsid w:val="00D454F8"/>
    <w:rsid w:val="00D45EBE"/>
    <w:rsid w:val="00D47EE1"/>
    <w:rsid w:val="00D5057D"/>
    <w:rsid w:val="00D52859"/>
    <w:rsid w:val="00D540A5"/>
    <w:rsid w:val="00D543F8"/>
    <w:rsid w:val="00D56D8A"/>
    <w:rsid w:val="00D60A31"/>
    <w:rsid w:val="00D6110D"/>
    <w:rsid w:val="00D6226E"/>
    <w:rsid w:val="00D6360D"/>
    <w:rsid w:val="00D70F67"/>
    <w:rsid w:val="00D8134D"/>
    <w:rsid w:val="00D81C6A"/>
    <w:rsid w:val="00D82C9D"/>
    <w:rsid w:val="00D85A5F"/>
    <w:rsid w:val="00D87A17"/>
    <w:rsid w:val="00D87ED7"/>
    <w:rsid w:val="00D90A65"/>
    <w:rsid w:val="00D94BF8"/>
    <w:rsid w:val="00D952D5"/>
    <w:rsid w:val="00DA5B3B"/>
    <w:rsid w:val="00DA617C"/>
    <w:rsid w:val="00DB1FFE"/>
    <w:rsid w:val="00DC30DD"/>
    <w:rsid w:val="00DC3DB5"/>
    <w:rsid w:val="00DC641D"/>
    <w:rsid w:val="00DC6751"/>
    <w:rsid w:val="00DC6839"/>
    <w:rsid w:val="00DD2C49"/>
    <w:rsid w:val="00DD43E3"/>
    <w:rsid w:val="00DE0A89"/>
    <w:rsid w:val="00DE2F08"/>
    <w:rsid w:val="00DE4439"/>
    <w:rsid w:val="00DE6A7A"/>
    <w:rsid w:val="00DF1936"/>
    <w:rsid w:val="00DF200C"/>
    <w:rsid w:val="00DF32B2"/>
    <w:rsid w:val="00DF5485"/>
    <w:rsid w:val="00E011C5"/>
    <w:rsid w:val="00E04AD2"/>
    <w:rsid w:val="00E13455"/>
    <w:rsid w:val="00E1405E"/>
    <w:rsid w:val="00E16202"/>
    <w:rsid w:val="00E16AD5"/>
    <w:rsid w:val="00E217E9"/>
    <w:rsid w:val="00E25149"/>
    <w:rsid w:val="00E27CA4"/>
    <w:rsid w:val="00E32473"/>
    <w:rsid w:val="00E33541"/>
    <w:rsid w:val="00E34DDA"/>
    <w:rsid w:val="00E42BCD"/>
    <w:rsid w:val="00E445A1"/>
    <w:rsid w:val="00E52754"/>
    <w:rsid w:val="00E53F01"/>
    <w:rsid w:val="00E61482"/>
    <w:rsid w:val="00E6283A"/>
    <w:rsid w:val="00E6323A"/>
    <w:rsid w:val="00E6504B"/>
    <w:rsid w:val="00E652D2"/>
    <w:rsid w:val="00E66688"/>
    <w:rsid w:val="00E677D7"/>
    <w:rsid w:val="00E70B01"/>
    <w:rsid w:val="00E70C88"/>
    <w:rsid w:val="00E8069B"/>
    <w:rsid w:val="00E83757"/>
    <w:rsid w:val="00E9231A"/>
    <w:rsid w:val="00EA00B0"/>
    <w:rsid w:val="00EA1C54"/>
    <w:rsid w:val="00EA48E9"/>
    <w:rsid w:val="00EA58B1"/>
    <w:rsid w:val="00EB1BF6"/>
    <w:rsid w:val="00EB2BE6"/>
    <w:rsid w:val="00EB7974"/>
    <w:rsid w:val="00EC0495"/>
    <w:rsid w:val="00EC219C"/>
    <w:rsid w:val="00EC29EA"/>
    <w:rsid w:val="00EE13AF"/>
    <w:rsid w:val="00EE15B0"/>
    <w:rsid w:val="00EE4C12"/>
    <w:rsid w:val="00EF3EAD"/>
    <w:rsid w:val="00EF64C5"/>
    <w:rsid w:val="00F07230"/>
    <w:rsid w:val="00F125F9"/>
    <w:rsid w:val="00F27D51"/>
    <w:rsid w:val="00F31D4A"/>
    <w:rsid w:val="00F36BA9"/>
    <w:rsid w:val="00F40BC2"/>
    <w:rsid w:val="00F414BA"/>
    <w:rsid w:val="00F54CED"/>
    <w:rsid w:val="00F57A9B"/>
    <w:rsid w:val="00F6014E"/>
    <w:rsid w:val="00F6665C"/>
    <w:rsid w:val="00F70D57"/>
    <w:rsid w:val="00F76860"/>
    <w:rsid w:val="00F83D16"/>
    <w:rsid w:val="00F84FDE"/>
    <w:rsid w:val="00F84FFA"/>
    <w:rsid w:val="00F94A90"/>
    <w:rsid w:val="00F95F31"/>
    <w:rsid w:val="00F96326"/>
    <w:rsid w:val="00FA71F3"/>
    <w:rsid w:val="00FB03AD"/>
    <w:rsid w:val="00FB27C3"/>
    <w:rsid w:val="00FB2E0F"/>
    <w:rsid w:val="00FB419B"/>
    <w:rsid w:val="00FB555B"/>
    <w:rsid w:val="00FB6014"/>
    <w:rsid w:val="00FC3082"/>
    <w:rsid w:val="00FD1AEC"/>
    <w:rsid w:val="00FD3331"/>
    <w:rsid w:val="00FD339B"/>
    <w:rsid w:val="00FE17B5"/>
    <w:rsid w:val="00FE213A"/>
    <w:rsid w:val="00FF07CE"/>
    <w:rsid w:val="00FF1F36"/>
    <w:rsid w:val="00FF203F"/>
    <w:rsid w:val="00FF361D"/>
    <w:rsid w:val="00FF7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BE3D"/>
  <w15:docId w15:val="{40AD2F9F-2EB6-4C31-ADEA-98C2088D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28F"/>
    <w:pPr>
      <w:widowControl w:val="0"/>
      <w:wordWrap w:val="0"/>
      <w:autoSpaceDE w:val="0"/>
      <w:autoSpaceDN w:val="0"/>
    </w:pPr>
  </w:style>
  <w:style w:type="paragraph" w:styleId="1">
    <w:name w:val="heading 1"/>
    <w:basedOn w:val="a"/>
    <w:next w:val="a"/>
    <w:link w:val="1Char"/>
    <w:uiPriority w:val="9"/>
    <w:qFormat/>
    <w:rsid w:val="00CD70A6"/>
    <w:pPr>
      <w:keepNext/>
      <w:outlineLvl w:val="0"/>
    </w:pPr>
    <w:rPr>
      <w:rFonts w:asciiTheme="majorHAnsi" w:eastAsiaTheme="majorEastAsia" w:hAnsiTheme="majorHAnsi" w:cstheme="majorBidi"/>
      <w:sz w:val="28"/>
      <w:szCs w:val="28"/>
    </w:rPr>
  </w:style>
  <w:style w:type="paragraph" w:styleId="3">
    <w:name w:val="heading 3"/>
    <w:basedOn w:val="a"/>
    <w:link w:val="3Char"/>
    <w:uiPriority w:val="9"/>
    <w:qFormat/>
    <w:rsid w:val="00A132C8"/>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2B0D5C"/>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B2352"/>
    <w:rPr>
      <w:i/>
      <w:iCs/>
    </w:rPr>
  </w:style>
  <w:style w:type="paragraph" w:styleId="a4">
    <w:name w:val="footnote text"/>
    <w:basedOn w:val="a"/>
    <w:link w:val="Char"/>
    <w:uiPriority w:val="99"/>
    <w:semiHidden/>
    <w:unhideWhenUsed/>
    <w:rsid w:val="002E4D43"/>
    <w:pPr>
      <w:snapToGrid w:val="0"/>
      <w:jc w:val="left"/>
    </w:pPr>
  </w:style>
  <w:style w:type="character" w:customStyle="1" w:styleId="Char">
    <w:name w:val="각주 텍스트 Char"/>
    <w:basedOn w:val="a0"/>
    <w:link w:val="a4"/>
    <w:uiPriority w:val="99"/>
    <w:semiHidden/>
    <w:rsid w:val="002E4D43"/>
  </w:style>
  <w:style w:type="character" w:styleId="a5">
    <w:name w:val="footnote reference"/>
    <w:basedOn w:val="a0"/>
    <w:uiPriority w:val="99"/>
    <w:semiHidden/>
    <w:unhideWhenUsed/>
    <w:rsid w:val="002E4D43"/>
    <w:rPr>
      <w:vertAlign w:val="superscript"/>
    </w:rPr>
  </w:style>
  <w:style w:type="paragraph" w:styleId="a6">
    <w:name w:val="No Spacing"/>
    <w:uiPriority w:val="1"/>
    <w:qFormat/>
    <w:rsid w:val="002E4D43"/>
    <w:pPr>
      <w:widowControl w:val="0"/>
      <w:wordWrap w:val="0"/>
      <w:autoSpaceDE w:val="0"/>
      <w:autoSpaceDN w:val="0"/>
      <w:spacing w:after="0" w:line="240" w:lineRule="auto"/>
    </w:pPr>
  </w:style>
  <w:style w:type="character" w:styleId="a7">
    <w:name w:val="Hyperlink"/>
    <w:rsid w:val="00312B81"/>
    <w:rPr>
      <w:u w:val="single"/>
    </w:rPr>
  </w:style>
  <w:style w:type="paragraph" w:styleId="a8">
    <w:name w:val="header"/>
    <w:basedOn w:val="a"/>
    <w:link w:val="Char0"/>
    <w:uiPriority w:val="99"/>
    <w:unhideWhenUsed/>
    <w:rsid w:val="00E27CA4"/>
    <w:pPr>
      <w:tabs>
        <w:tab w:val="center" w:pos="4513"/>
        <w:tab w:val="right" w:pos="9026"/>
      </w:tabs>
      <w:snapToGrid w:val="0"/>
    </w:pPr>
  </w:style>
  <w:style w:type="character" w:customStyle="1" w:styleId="Char0">
    <w:name w:val="머리글 Char"/>
    <w:basedOn w:val="a0"/>
    <w:link w:val="a8"/>
    <w:uiPriority w:val="99"/>
    <w:rsid w:val="00E27CA4"/>
  </w:style>
  <w:style w:type="paragraph" w:styleId="a9">
    <w:name w:val="footer"/>
    <w:basedOn w:val="a"/>
    <w:link w:val="Char1"/>
    <w:uiPriority w:val="99"/>
    <w:unhideWhenUsed/>
    <w:rsid w:val="00E27CA4"/>
    <w:pPr>
      <w:tabs>
        <w:tab w:val="center" w:pos="4513"/>
        <w:tab w:val="right" w:pos="9026"/>
      </w:tabs>
      <w:snapToGrid w:val="0"/>
    </w:pPr>
  </w:style>
  <w:style w:type="character" w:customStyle="1" w:styleId="Char1">
    <w:name w:val="바닥글 Char"/>
    <w:basedOn w:val="a0"/>
    <w:link w:val="a9"/>
    <w:uiPriority w:val="99"/>
    <w:rsid w:val="00E27CA4"/>
  </w:style>
  <w:style w:type="paragraph" w:styleId="aa">
    <w:name w:val="Normal (Web)"/>
    <w:basedOn w:val="a"/>
    <w:uiPriority w:val="99"/>
    <w:unhideWhenUsed/>
    <w:rsid w:val="00EE15B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3Char">
    <w:name w:val="제목 3 Char"/>
    <w:basedOn w:val="a0"/>
    <w:link w:val="3"/>
    <w:uiPriority w:val="9"/>
    <w:rsid w:val="00A132C8"/>
    <w:rPr>
      <w:rFonts w:ascii="굴림" w:eastAsia="굴림" w:hAnsi="굴림" w:cs="굴림"/>
      <w:b/>
      <w:bCs/>
      <w:kern w:val="0"/>
      <w:sz w:val="27"/>
      <w:szCs w:val="27"/>
    </w:rPr>
  </w:style>
  <w:style w:type="character" w:customStyle="1" w:styleId="1Char">
    <w:name w:val="제목 1 Char"/>
    <w:basedOn w:val="a0"/>
    <w:link w:val="1"/>
    <w:uiPriority w:val="9"/>
    <w:rsid w:val="00CD70A6"/>
    <w:rPr>
      <w:rFonts w:asciiTheme="majorHAnsi" w:eastAsiaTheme="majorEastAsia" w:hAnsiTheme="majorHAnsi" w:cstheme="majorBidi"/>
      <w:sz w:val="28"/>
      <w:szCs w:val="28"/>
    </w:rPr>
  </w:style>
  <w:style w:type="character" w:customStyle="1" w:styleId="ref-journal">
    <w:name w:val="ref-journal"/>
    <w:basedOn w:val="a0"/>
    <w:rsid w:val="00687EFB"/>
  </w:style>
  <w:style w:type="character" w:customStyle="1" w:styleId="ref-vol">
    <w:name w:val="ref-vol"/>
    <w:basedOn w:val="a0"/>
    <w:rsid w:val="00687EFB"/>
  </w:style>
  <w:style w:type="paragraph" w:customStyle="1" w:styleId="Default">
    <w:name w:val="Default"/>
    <w:rsid w:val="0021682E"/>
    <w:pPr>
      <w:widowControl w:val="0"/>
      <w:autoSpaceDE w:val="0"/>
      <w:autoSpaceDN w:val="0"/>
      <w:adjustRightInd w:val="0"/>
      <w:spacing w:after="0" w:line="240" w:lineRule="auto"/>
      <w:jc w:val="left"/>
    </w:pPr>
    <w:rPr>
      <w:rFonts w:ascii="National Bold" w:eastAsia="National Bold" w:cs="National Bold"/>
      <w:color w:val="000000"/>
      <w:kern w:val="0"/>
      <w:sz w:val="24"/>
      <w:szCs w:val="24"/>
    </w:rPr>
  </w:style>
  <w:style w:type="character" w:customStyle="1" w:styleId="4Char">
    <w:name w:val="제목 4 Char"/>
    <w:basedOn w:val="a0"/>
    <w:link w:val="4"/>
    <w:uiPriority w:val="9"/>
    <w:semiHidden/>
    <w:rsid w:val="002B0D5C"/>
    <w:rPr>
      <w:b/>
      <w:bCs/>
    </w:rPr>
  </w:style>
  <w:style w:type="paragraph" w:styleId="ab">
    <w:name w:val="Balloon Text"/>
    <w:basedOn w:val="a"/>
    <w:link w:val="Char2"/>
    <w:uiPriority w:val="99"/>
    <w:semiHidden/>
    <w:unhideWhenUsed/>
    <w:rsid w:val="00615998"/>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sid w:val="00615998"/>
    <w:rPr>
      <w:rFonts w:asciiTheme="majorHAnsi" w:eastAsiaTheme="majorEastAsia" w:hAnsiTheme="majorHAnsi" w:cstheme="majorBidi"/>
      <w:sz w:val="18"/>
      <w:szCs w:val="18"/>
    </w:rPr>
  </w:style>
  <w:style w:type="table" w:styleId="ac">
    <w:name w:val="Table Grid"/>
    <w:basedOn w:val="a1"/>
    <w:uiPriority w:val="39"/>
    <w:rsid w:val="00FE1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05100"/>
    <w:pPr>
      <w:ind w:leftChars="400" w:left="800"/>
    </w:pPr>
  </w:style>
  <w:style w:type="character" w:customStyle="1" w:styleId="UnresolvedMention1">
    <w:name w:val="Unresolved Mention1"/>
    <w:basedOn w:val="a0"/>
    <w:uiPriority w:val="99"/>
    <w:semiHidden/>
    <w:unhideWhenUsed/>
    <w:rsid w:val="00714B19"/>
    <w:rPr>
      <w:color w:val="605E5C"/>
      <w:shd w:val="clear" w:color="auto" w:fill="E1DFDD"/>
    </w:rPr>
  </w:style>
  <w:style w:type="paragraph" w:styleId="HTML">
    <w:name w:val="HTML Preformatted"/>
    <w:basedOn w:val="a"/>
    <w:link w:val="HTMLChar"/>
    <w:uiPriority w:val="99"/>
    <w:semiHidden/>
    <w:unhideWhenUsed/>
    <w:rsid w:val="00A90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en-GB"/>
    </w:rPr>
  </w:style>
  <w:style w:type="character" w:customStyle="1" w:styleId="HTMLChar">
    <w:name w:val="미리 서식이 지정된 HTML Char"/>
    <w:basedOn w:val="a0"/>
    <w:link w:val="HTML"/>
    <w:uiPriority w:val="99"/>
    <w:semiHidden/>
    <w:rsid w:val="00A900EC"/>
    <w:rPr>
      <w:rFonts w:ascii="Courier New" w:eastAsia="Times New Roman" w:hAnsi="Courier New" w:cs="Courier New"/>
      <w:kern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557">
      <w:bodyDiv w:val="1"/>
      <w:marLeft w:val="0"/>
      <w:marRight w:val="0"/>
      <w:marTop w:val="0"/>
      <w:marBottom w:val="0"/>
      <w:divBdr>
        <w:top w:val="none" w:sz="0" w:space="0" w:color="auto"/>
        <w:left w:val="none" w:sz="0" w:space="0" w:color="auto"/>
        <w:bottom w:val="none" w:sz="0" w:space="0" w:color="auto"/>
        <w:right w:val="none" w:sz="0" w:space="0" w:color="auto"/>
      </w:divBdr>
    </w:div>
    <w:div w:id="90005306">
      <w:bodyDiv w:val="1"/>
      <w:marLeft w:val="0"/>
      <w:marRight w:val="0"/>
      <w:marTop w:val="0"/>
      <w:marBottom w:val="0"/>
      <w:divBdr>
        <w:top w:val="none" w:sz="0" w:space="0" w:color="auto"/>
        <w:left w:val="none" w:sz="0" w:space="0" w:color="auto"/>
        <w:bottom w:val="none" w:sz="0" w:space="0" w:color="auto"/>
        <w:right w:val="none" w:sz="0" w:space="0" w:color="auto"/>
      </w:divBdr>
    </w:div>
    <w:div w:id="170996836">
      <w:bodyDiv w:val="1"/>
      <w:marLeft w:val="0"/>
      <w:marRight w:val="0"/>
      <w:marTop w:val="0"/>
      <w:marBottom w:val="0"/>
      <w:divBdr>
        <w:top w:val="none" w:sz="0" w:space="0" w:color="auto"/>
        <w:left w:val="none" w:sz="0" w:space="0" w:color="auto"/>
        <w:bottom w:val="none" w:sz="0" w:space="0" w:color="auto"/>
        <w:right w:val="none" w:sz="0" w:space="0" w:color="auto"/>
      </w:divBdr>
    </w:div>
    <w:div w:id="357123729">
      <w:bodyDiv w:val="1"/>
      <w:marLeft w:val="0"/>
      <w:marRight w:val="0"/>
      <w:marTop w:val="0"/>
      <w:marBottom w:val="0"/>
      <w:divBdr>
        <w:top w:val="none" w:sz="0" w:space="0" w:color="auto"/>
        <w:left w:val="none" w:sz="0" w:space="0" w:color="auto"/>
        <w:bottom w:val="none" w:sz="0" w:space="0" w:color="auto"/>
        <w:right w:val="none" w:sz="0" w:space="0" w:color="auto"/>
      </w:divBdr>
    </w:div>
    <w:div w:id="435638724">
      <w:bodyDiv w:val="1"/>
      <w:marLeft w:val="0"/>
      <w:marRight w:val="0"/>
      <w:marTop w:val="0"/>
      <w:marBottom w:val="0"/>
      <w:divBdr>
        <w:top w:val="none" w:sz="0" w:space="0" w:color="auto"/>
        <w:left w:val="none" w:sz="0" w:space="0" w:color="auto"/>
        <w:bottom w:val="none" w:sz="0" w:space="0" w:color="auto"/>
        <w:right w:val="none" w:sz="0" w:space="0" w:color="auto"/>
      </w:divBdr>
    </w:div>
    <w:div w:id="477382917">
      <w:bodyDiv w:val="1"/>
      <w:marLeft w:val="0"/>
      <w:marRight w:val="0"/>
      <w:marTop w:val="0"/>
      <w:marBottom w:val="0"/>
      <w:divBdr>
        <w:top w:val="none" w:sz="0" w:space="0" w:color="auto"/>
        <w:left w:val="none" w:sz="0" w:space="0" w:color="auto"/>
        <w:bottom w:val="none" w:sz="0" w:space="0" w:color="auto"/>
        <w:right w:val="none" w:sz="0" w:space="0" w:color="auto"/>
      </w:divBdr>
    </w:div>
    <w:div w:id="664355850">
      <w:bodyDiv w:val="1"/>
      <w:marLeft w:val="0"/>
      <w:marRight w:val="0"/>
      <w:marTop w:val="0"/>
      <w:marBottom w:val="0"/>
      <w:divBdr>
        <w:top w:val="none" w:sz="0" w:space="0" w:color="auto"/>
        <w:left w:val="none" w:sz="0" w:space="0" w:color="auto"/>
        <w:bottom w:val="none" w:sz="0" w:space="0" w:color="auto"/>
        <w:right w:val="none" w:sz="0" w:space="0" w:color="auto"/>
      </w:divBdr>
    </w:div>
    <w:div w:id="695693837">
      <w:bodyDiv w:val="1"/>
      <w:marLeft w:val="0"/>
      <w:marRight w:val="0"/>
      <w:marTop w:val="0"/>
      <w:marBottom w:val="0"/>
      <w:divBdr>
        <w:top w:val="none" w:sz="0" w:space="0" w:color="auto"/>
        <w:left w:val="none" w:sz="0" w:space="0" w:color="auto"/>
        <w:bottom w:val="none" w:sz="0" w:space="0" w:color="auto"/>
        <w:right w:val="none" w:sz="0" w:space="0" w:color="auto"/>
      </w:divBdr>
    </w:div>
    <w:div w:id="769470839">
      <w:bodyDiv w:val="1"/>
      <w:marLeft w:val="0"/>
      <w:marRight w:val="0"/>
      <w:marTop w:val="0"/>
      <w:marBottom w:val="0"/>
      <w:divBdr>
        <w:top w:val="none" w:sz="0" w:space="0" w:color="auto"/>
        <w:left w:val="none" w:sz="0" w:space="0" w:color="auto"/>
        <w:bottom w:val="none" w:sz="0" w:space="0" w:color="auto"/>
        <w:right w:val="none" w:sz="0" w:space="0" w:color="auto"/>
      </w:divBdr>
      <w:divsChild>
        <w:div w:id="1595895529">
          <w:marLeft w:val="0"/>
          <w:marRight w:val="0"/>
          <w:marTop w:val="0"/>
          <w:marBottom w:val="0"/>
          <w:divBdr>
            <w:top w:val="none" w:sz="0" w:space="0" w:color="auto"/>
            <w:left w:val="none" w:sz="0" w:space="0" w:color="auto"/>
            <w:bottom w:val="none" w:sz="0" w:space="0" w:color="auto"/>
            <w:right w:val="none" w:sz="0" w:space="0" w:color="auto"/>
          </w:divBdr>
          <w:divsChild>
            <w:div w:id="1196311763">
              <w:marLeft w:val="0"/>
              <w:marRight w:val="0"/>
              <w:marTop w:val="0"/>
              <w:marBottom w:val="0"/>
              <w:divBdr>
                <w:top w:val="none" w:sz="0" w:space="0" w:color="auto"/>
                <w:left w:val="none" w:sz="0" w:space="0" w:color="auto"/>
                <w:bottom w:val="none" w:sz="0" w:space="0" w:color="auto"/>
                <w:right w:val="none" w:sz="0" w:space="0" w:color="auto"/>
              </w:divBdr>
              <w:divsChild>
                <w:div w:id="1313172713">
                  <w:marLeft w:val="0"/>
                  <w:marRight w:val="0"/>
                  <w:marTop w:val="0"/>
                  <w:marBottom w:val="0"/>
                  <w:divBdr>
                    <w:top w:val="none" w:sz="0" w:space="0" w:color="auto"/>
                    <w:left w:val="none" w:sz="0" w:space="0" w:color="auto"/>
                    <w:bottom w:val="none" w:sz="0" w:space="0" w:color="auto"/>
                    <w:right w:val="none" w:sz="0" w:space="0" w:color="auto"/>
                  </w:divBdr>
                  <w:divsChild>
                    <w:div w:id="1349287129">
                      <w:marLeft w:val="0"/>
                      <w:marRight w:val="0"/>
                      <w:marTop w:val="0"/>
                      <w:marBottom w:val="0"/>
                      <w:divBdr>
                        <w:top w:val="none" w:sz="0" w:space="0" w:color="auto"/>
                        <w:left w:val="none" w:sz="0" w:space="0" w:color="auto"/>
                        <w:bottom w:val="none" w:sz="0" w:space="0" w:color="auto"/>
                        <w:right w:val="none" w:sz="0" w:space="0" w:color="auto"/>
                      </w:divBdr>
                      <w:divsChild>
                        <w:div w:id="1421220267">
                          <w:marLeft w:val="0"/>
                          <w:marRight w:val="0"/>
                          <w:marTop w:val="0"/>
                          <w:marBottom w:val="0"/>
                          <w:divBdr>
                            <w:top w:val="none" w:sz="0" w:space="0" w:color="auto"/>
                            <w:left w:val="none" w:sz="0" w:space="0" w:color="auto"/>
                            <w:bottom w:val="none" w:sz="0" w:space="0" w:color="auto"/>
                            <w:right w:val="none" w:sz="0" w:space="0" w:color="auto"/>
                          </w:divBdr>
                          <w:divsChild>
                            <w:div w:id="1612933123">
                              <w:marLeft w:val="0"/>
                              <w:marRight w:val="0"/>
                              <w:marTop w:val="0"/>
                              <w:marBottom w:val="0"/>
                              <w:divBdr>
                                <w:top w:val="none" w:sz="0" w:space="0" w:color="auto"/>
                                <w:left w:val="none" w:sz="0" w:space="0" w:color="auto"/>
                                <w:bottom w:val="none" w:sz="0" w:space="0" w:color="auto"/>
                                <w:right w:val="none" w:sz="0" w:space="0" w:color="auto"/>
                              </w:divBdr>
                            </w:div>
                          </w:divsChild>
                        </w:div>
                        <w:div w:id="40444038">
                          <w:marLeft w:val="0"/>
                          <w:marRight w:val="0"/>
                          <w:marTop w:val="0"/>
                          <w:marBottom w:val="0"/>
                          <w:divBdr>
                            <w:top w:val="none" w:sz="0" w:space="0" w:color="auto"/>
                            <w:left w:val="none" w:sz="0" w:space="0" w:color="auto"/>
                            <w:bottom w:val="none" w:sz="0" w:space="0" w:color="auto"/>
                            <w:right w:val="none" w:sz="0" w:space="0" w:color="auto"/>
                          </w:divBdr>
                          <w:divsChild>
                            <w:div w:id="1835031985">
                              <w:marLeft w:val="0"/>
                              <w:marRight w:val="300"/>
                              <w:marTop w:val="180"/>
                              <w:marBottom w:val="0"/>
                              <w:divBdr>
                                <w:top w:val="none" w:sz="0" w:space="0" w:color="auto"/>
                                <w:left w:val="none" w:sz="0" w:space="0" w:color="auto"/>
                                <w:bottom w:val="none" w:sz="0" w:space="0" w:color="auto"/>
                                <w:right w:val="none" w:sz="0" w:space="0" w:color="auto"/>
                              </w:divBdr>
                              <w:divsChild>
                                <w:div w:id="9204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523715">
          <w:marLeft w:val="0"/>
          <w:marRight w:val="0"/>
          <w:marTop w:val="0"/>
          <w:marBottom w:val="0"/>
          <w:divBdr>
            <w:top w:val="none" w:sz="0" w:space="0" w:color="auto"/>
            <w:left w:val="none" w:sz="0" w:space="0" w:color="auto"/>
            <w:bottom w:val="none" w:sz="0" w:space="0" w:color="auto"/>
            <w:right w:val="none" w:sz="0" w:space="0" w:color="auto"/>
          </w:divBdr>
          <w:divsChild>
            <w:div w:id="2112772728">
              <w:marLeft w:val="0"/>
              <w:marRight w:val="0"/>
              <w:marTop w:val="0"/>
              <w:marBottom w:val="0"/>
              <w:divBdr>
                <w:top w:val="none" w:sz="0" w:space="0" w:color="auto"/>
                <w:left w:val="none" w:sz="0" w:space="0" w:color="auto"/>
                <w:bottom w:val="none" w:sz="0" w:space="0" w:color="auto"/>
                <w:right w:val="none" w:sz="0" w:space="0" w:color="auto"/>
              </w:divBdr>
              <w:divsChild>
                <w:div w:id="337469937">
                  <w:marLeft w:val="0"/>
                  <w:marRight w:val="0"/>
                  <w:marTop w:val="0"/>
                  <w:marBottom w:val="0"/>
                  <w:divBdr>
                    <w:top w:val="none" w:sz="0" w:space="0" w:color="auto"/>
                    <w:left w:val="none" w:sz="0" w:space="0" w:color="auto"/>
                    <w:bottom w:val="none" w:sz="0" w:space="0" w:color="auto"/>
                    <w:right w:val="none" w:sz="0" w:space="0" w:color="auto"/>
                  </w:divBdr>
                  <w:divsChild>
                    <w:div w:id="1733775953">
                      <w:marLeft w:val="0"/>
                      <w:marRight w:val="0"/>
                      <w:marTop w:val="0"/>
                      <w:marBottom w:val="0"/>
                      <w:divBdr>
                        <w:top w:val="none" w:sz="0" w:space="0" w:color="auto"/>
                        <w:left w:val="none" w:sz="0" w:space="0" w:color="auto"/>
                        <w:bottom w:val="none" w:sz="0" w:space="0" w:color="auto"/>
                        <w:right w:val="none" w:sz="0" w:space="0" w:color="auto"/>
                      </w:divBdr>
                      <w:divsChild>
                        <w:div w:id="2021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810">
      <w:bodyDiv w:val="1"/>
      <w:marLeft w:val="0"/>
      <w:marRight w:val="0"/>
      <w:marTop w:val="0"/>
      <w:marBottom w:val="0"/>
      <w:divBdr>
        <w:top w:val="none" w:sz="0" w:space="0" w:color="auto"/>
        <w:left w:val="none" w:sz="0" w:space="0" w:color="auto"/>
        <w:bottom w:val="none" w:sz="0" w:space="0" w:color="auto"/>
        <w:right w:val="none" w:sz="0" w:space="0" w:color="auto"/>
      </w:divBdr>
    </w:div>
    <w:div w:id="946935450">
      <w:bodyDiv w:val="1"/>
      <w:marLeft w:val="0"/>
      <w:marRight w:val="0"/>
      <w:marTop w:val="0"/>
      <w:marBottom w:val="0"/>
      <w:divBdr>
        <w:top w:val="none" w:sz="0" w:space="0" w:color="auto"/>
        <w:left w:val="none" w:sz="0" w:space="0" w:color="auto"/>
        <w:bottom w:val="none" w:sz="0" w:space="0" w:color="auto"/>
        <w:right w:val="none" w:sz="0" w:space="0" w:color="auto"/>
      </w:divBdr>
    </w:div>
    <w:div w:id="980696263">
      <w:bodyDiv w:val="1"/>
      <w:marLeft w:val="0"/>
      <w:marRight w:val="0"/>
      <w:marTop w:val="0"/>
      <w:marBottom w:val="0"/>
      <w:divBdr>
        <w:top w:val="none" w:sz="0" w:space="0" w:color="auto"/>
        <w:left w:val="none" w:sz="0" w:space="0" w:color="auto"/>
        <w:bottom w:val="none" w:sz="0" w:space="0" w:color="auto"/>
        <w:right w:val="none" w:sz="0" w:space="0" w:color="auto"/>
      </w:divBdr>
    </w:div>
    <w:div w:id="1136602415">
      <w:bodyDiv w:val="1"/>
      <w:marLeft w:val="0"/>
      <w:marRight w:val="0"/>
      <w:marTop w:val="0"/>
      <w:marBottom w:val="0"/>
      <w:divBdr>
        <w:top w:val="none" w:sz="0" w:space="0" w:color="auto"/>
        <w:left w:val="none" w:sz="0" w:space="0" w:color="auto"/>
        <w:bottom w:val="none" w:sz="0" w:space="0" w:color="auto"/>
        <w:right w:val="none" w:sz="0" w:space="0" w:color="auto"/>
      </w:divBdr>
    </w:div>
    <w:div w:id="1147698545">
      <w:bodyDiv w:val="1"/>
      <w:marLeft w:val="0"/>
      <w:marRight w:val="0"/>
      <w:marTop w:val="0"/>
      <w:marBottom w:val="0"/>
      <w:divBdr>
        <w:top w:val="none" w:sz="0" w:space="0" w:color="auto"/>
        <w:left w:val="none" w:sz="0" w:space="0" w:color="auto"/>
        <w:bottom w:val="none" w:sz="0" w:space="0" w:color="auto"/>
        <w:right w:val="none" w:sz="0" w:space="0" w:color="auto"/>
      </w:divBdr>
    </w:div>
    <w:div w:id="1164977036">
      <w:bodyDiv w:val="1"/>
      <w:marLeft w:val="0"/>
      <w:marRight w:val="0"/>
      <w:marTop w:val="0"/>
      <w:marBottom w:val="0"/>
      <w:divBdr>
        <w:top w:val="none" w:sz="0" w:space="0" w:color="auto"/>
        <w:left w:val="none" w:sz="0" w:space="0" w:color="auto"/>
        <w:bottom w:val="none" w:sz="0" w:space="0" w:color="auto"/>
        <w:right w:val="none" w:sz="0" w:space="0" w:color="auto"/>
      </w:divBdr>
    </w:div>
    <w:div w:id="1229265390">
      <w:bodyDiv w:val="1"/>
      <w:marLeft w:val="0"/>
      <w:marRight w:val="0"/>
      <w:marTop w:val="0"/>
      <w:marBottom w:val="0"/>
      <w:divBdr>
        <w:top w:val="none" w:sz="0" w:space="0" w:color="auto"/>
        <w:left w:val="none" w:sz="0" w:space="0" w:color="auto"/>
        <w:bottom w:val="none" w:sz="0" w:space="0" w:color="auto"/>
        <w:right w:val="none" w:sz="0" w:space="0" w:color="auto"/>
      </w:divBdr>
    </w:div>
    <w:div w:id="1318610214">
      <w:bodyDiv w:val="1"/>
      <w:marLeft w:val="0"/>
      <w:marRight w:val="0"/>
      <w:marTop w:val="0"/>
      <w:marBottom w:val="0"/>
      <w:divBdr>
        <w:top w:val="none" w:sz="0" w:space="0" w:color="auto"/>
        <w:left w:val="none" w:sz="0" w:space="0" w:color="auto"/>
        <w:bottom w:val="none" w:sz="0" w:space="0" w:color="auto"/>
        <w:right w:val="none" w:sz="0" w:space="0" w:color="auto"/>
      </w:divBdr>
    </w:div>
    <w:div w:id="1334340551">
      <w:bodyDiv w:val="1"/>
      <w:marLeft w:val="0"/>
      <w:marRight w:val="0"/>
      <w:marTop w:val="0"/>
      <w:marBottom w:val="0"/>
      <w:divBdr>
        <w:top w:val="none" w:sz="0" w:space="0" w:color="auto"/>
        <w:left w:val="none" w:sz="0" w:space="0" w:color="auto"/>
        <w:bottom w:val="none" w:sz="0" w:space="0" w:color="auto"/>
        <w:right w:val="none" w:sz="0" w:space="0" w:color="auto"/>
      </w:divBdr>
      <w:divsChild>
        <w:div w:id="300967758">
          <w:marLeft w:val="0"/>
          <w:marRight w:val="0"/>
          <w:marTop w:val="0"/>
          <w:marBottom w:val="0"/>
          <w:divBdr>
            <w:top w:val="none" w:sz="0" w:space="0" w:color="auto"/>
            <w:left w:val="none" w:sz="0" w:space="0" w:color="auto"/>
            <w:bottom w:val="none" w:sz="0" w:space="0" w:color="auto"/>
            <w:right w:val="none" w:sz="0" w:space="0" w:color="auto"/>
          </w:divBdr>
        </w:div>
      </w:divsChild>
    </w:div>
    <w:div w:id="1340501276">
      <w:bodyDiv w:val="1"/>
      <w:marLeft w:val="0"/>
      <w:marRight w:val="0"/>
      <w:marTop w:val="0"/>
      <w:marBottom w:val="0"/>
      <w:divBdr>
        <w:top w:val="none" w:sz="0" w:space="0" w:color="auto"/>
        <w:left w:val="none" w:sz="0" w:space="0" w:color="auto"/>
        <w:bottom w:val="none" w:sz="0" w:space="0" w:color="auto"/>
        <w:right w:val="none" w:sz="0" w:space="0" w:color="auto"/>
      </w:divBdr>
    </w:div>
    <w:div w:id="1930965367">
      <w:bodyDiv w:val="1"/>
      <w:marLeft w:val="0"/>
      <w:marRight w:val="0"/>
      <w:marTop w:val="0"/>
      <w:marBottom w:val="0"/>
      <w:divBdr>
        <w:top w:val="none" w:sz="0" w:space="0" w:color="auto"/>
        <w:left w:val="none" w:sz="0" w:space="0" w:color="auto"/>
        <w:bottom w:val="none" w:sz="0" w:space="0" w:color="auto"/>
        <w:right w:val="none" w:sz="0" w:space="0" w:color="auto"/>
      </w:divBdr>
    </w:div>
    <w:div w:id="2073648713">
      <w:bodyDiv w:val="1"/>
      <w:marLeft w:val="0"/>
      <w:marRight w:val="0"/>
      <w:marTop w:val="0"/>
      <w:marBottom w:val="0"/>
      <w:divBdr>
        <w:top w:val="none" w:sz="0" w:space="0" w:color="auto"/>
        <w:left w:val="none" w:sz="0" w:space="0" w:color="auto"/>
        <w:bottom w:val="none" w:sz="0" w:space="0" w:color="auto"/>
        <w:right w:val="none" w:sz="0" w:space="0" w:color="auto"/>
      </w:divBdr>
    </w:div>
    <w:div w:id="21256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100FE-4D6B-4B2D-991A-36A7BD1DEFED}">
  <ds:schemaRefs>
    <ds:schemaRef ds:uri="http://schemas.openxmlformats.org/officeDocument/2006/bibliography"/>
  </ds:schemaRefs>
</ds:datastoreItem>
</file>

<file path=customXml/itemProps2.xml><?xml version="1.0" encoding="utf-8"?>
<ds:datastoreItem xmlns:ds="http://schemas.openxmlformats.org/officeDocument/2006/customXml" ds:itemID="{9F1A9CAC-C585-4257-8186-883E0227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12058</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Textcheck</dc:creator>
  <cp:lastModifiedBy>KSE</cp:lastModifiedBy>
  <cp:revision>2</cp:revision>
  <cp:lastPrinted>2020-12-13T23:35:00Z</cp:lastPrinted>
  <dcterms:created xsi:type="dcterms:W3CDTF">2021-04-06T01:08:00Z</dcterms:created>
  <dcterms:modified xsi:type="dcterms:W3CDTF">2021-04-06T01:08:00Z</dcterms:modified>
</cp:coreProperties>
</file>